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0B6" w:rsidRDefault="000760B6" w:rsidP="003976FE">
      <w:pPr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На основу Решења о банкро</w:t>
      </w:r>
      <w:r w:rsidR="00061075">
        <w:rPr>
          <w:sz w:val="18"/>
          <w:szCs w:val="18"/>
          <w:lang w:val="sr-Cyrl-CS"/>
        </w:rPr>
        <w:t>т</w:t>
      </w:r>
      <w:r>
        <w:rPr>
          <w:sz w:val="18"/>
          <w:szCs w:val="18"/>
          <w:lang w:val="sr-Cyrl-CS"/>
        </w:rPr>
        <w:t>ству Посл.бр. 1. Ст. 13/2014 од 20.10.2014. године стечајног судије Привредног суда у Крагујевцу</w:t>
      </w:r>
      <w:r w:rsidR="00375A5B">
        <w:rPr>
          <w:sz w:val="18"/>
          <w:szCs w:val="18"/>
          <w:lang w:val="sr-Cyrl-CS"/>
        </w:rPr>
        <w:t xml:space="preserve"> и прибављене сагласности Одбора поверилаца од 28.05.2015. године на продају стечајног дужника као правног лица</w:t>
      </w:r>
      <w:r>
        <w:rPr>
          <w:sz w:val="18"/>
          <w:szCs w:val="18"/>
          <w:lang w:val="sr-Cyrl-CS"/>
        </w:rPr>
        <w:t>, а у складу са чланови</w:t>
      </w:r>
      <w:r w:rsidR="00FA27B6">
        <w:rPr>
          <w:sz w:val="18"/>
          <w:szCs w:val="18"/>
          <w:lang w:val="sr-Cyrl-CS"/>
        </w:rPr>
        <w:t>ма 131., 132., 133,. и</w:t>
      </w:r>
      <w:r>
        <w:rPr>
          <w:sz w:val="18"/>
          <w:szCs w:val="18"/>
          <w:lang w:val="sr-Cyrl-CS"/>
        </w:rPr>
        <w:t xml:space="preserve"> 135. Закона о стечају (</w:t>
      </w:r>
      <w:r>
        <w:rPr>
          <w:i/>
          <w:sz w:val="18"/>
          <w:szCs w:val="18"/>
          <w:lang w:val="sr-Cyrl-CS"/>
        </w:rPr>
        <w:t>„Службени гласник РС“ број 104/2009)</w:t>
      </w:r>
      <w:r w:rsidR="00375A5B">
        <w:rPr>
          <w:sz w:val="18"/>
          <w:szCs w:val="18"/>
          <w:lang w:val="sr-Cyrl-CS"/>
        </w:rPr>
        <w:t xml:space="preserve"> и </w:t>
      </w:r>
      <w:r w:rsidR="006951C7">
        <w:rPr>
          <w:sz w:val="18"/>
          <w:szCs w:val="18"/>
          <w:lang w:val="sr-Cyrl-CS"/>
        </w:rPr>
        <w:t>националним стандардима за управљање стечајном масом -  Национални стандард</w:t>
      </w:r>
      <w:r>
        <w:rPr>
          <w:sz w:val="18"/>
          <w:szCs w:val="18"/>
          <w:lang w:val="sr-Cyrl-CS"/>
        </w:rPr>
        <w:t xml:space="preserve"> број 5 о начину и поступку уновчења имовине стечајног дужника (</w:t>
      </w:r>
      <w:r>
        <w:rPr>
          <w:i/>
          <w:sz w:val="18"/>
          <w:szCs w:val="18"/>
          <w:lang w:val="sr-Cyrl-CS"/>
        </w:rPr>
        <w:t>„Службени гласник РС“ број 13/2010)</w:t>
      </w:r>
      <w:r>
        <w:rPr>
          <w:sz w:val="18"/>
          <w:szCs w:val="18"/>
          <w:lang w:val="sr-Cyrl-CS"/>
        </w:rPr>
        <w:t>, стечајни управник дужника</w:t>
      </w:r>
    </w:p>
    <w:p w:rsidR="00D5208F" w:rsidRPr="003649D8" w:rsidRDefault="00D5208F" w:rsidP="00D5208F">
      <w:pPr>
        <w:jc w:val="center"/>
        <w:rPr>
          <w:b/>
          <w:sz w:val="20"/>
          <w:szCs w:val="20"/>
          <w:lang w:val="sr-Cyrl-CS"/>
        </w:rPr>
      </w:pPr>
      <w:r w:rsidRPr="003649D8">
        <w:rPr>
          <w:b/>
          <w:sz w:val="20"/>
          <w:szCs w:val="20"/>
          <w:lang w:val="sr-Cyrl-CS"/>
        </w:rPr>
        <w:t xml:space="preserve">„ПРОГРЕС ПРОМЕТ – ХЛАДЊАЧА МИЛЕНИЋ“ ДОО ДОЊА ТРНАВА </w:t>
      </w:r>
    </w:p>
    <w:p w:rsidR="00D5208F" w:rsidRPr="003649D8" w:rsidRDefault="00D5208F" w:rsidP="00D5208F">
      <w:pPr>
        <w:jc w:val="center"/>
        <w:rPr>
          <w:b/>
          <w:sz w:val="20"/>
          <w:szCs w:val="20"/>
          <w:lang w:val="sr-Cyrl-CS"/>
        </w:rPr>
      </w:pPr>
      <w:r w:rsidRPr="003649D8">
        <w:rPr>
          <w:b/>
          <w:sz w:val="20"/>
          <w:szCs w:val="20"/>
          <w:lang w:val="sr-Cyrl-CS"/>
        </w:rPr>
        <w:t>у стечају из Доње Трнаве, Општина Топола</w:t>
      </w:r>
    </w:p>
    <w:p w:rsidR="00D5208F" w:rsidRPr="003649D8" w:rsidRDefault="00D5208F" w:rsidP="00D5208F">
      <w:pPr>
        <w:jc w:val="center"/>
        <w:rPr>
          <w:b/>
          <w:sz w:val="20"/>
          <w:szCs w:val="20"/>
          <w:lang w:val="sr-Cyrl-CS"/>
        </w:rPr>
      </w:pPr>
      <w:r w:rsidRPr="003649D8">
        <w:rPr>
          <w:b/>
          <w:sz w:val="20"/>
          <w:szCs w:val="20"/>
          <w:lang w:val="sr-Cyrl-CS"/>
        </w:rPr>
        <w:t>мат.бр. : 07574282, ПИБ : 101224334</w:t>
      </w:r>
    </w:p>
    <w:p w:rsidR="003976FE" w:rsidRPr="003649D8" w:rsidRDefault="003976FE" w:rsidP="00D5208F">
      <w:pPr>
        <w:jc w:val="center"/>
        <w:rPr>
          <w:b/>
          <w:sz w:val="20"/>
          <w:szCs w:val="20"/>
          <w:lang w:val="sr-Cyrl-CS"/>
        </w:rPr>
      </w:pPr>
      <w:r w:rsidRPr="003649D8">
        <w:rPr>
          <w:b/>
          <w:sz w:val="20"/>
          <w:szCs w:val="20"/>
          <w:lang w:val="sr-Cyrl-CS"/>
        </w:rPr>
        <w:t>ОГЛАШАВА</w:t>
      </w:r>
    </w:p>
    <w:p w:rsidR="003976FE" w:rsidRPr="003649D8" w:rsidRDefault="003976FE" w:rsidP="00D5208F">
      <w:pPr>
        <w:jc w:val="center"/>
        <w:rPr>
          <w:b/>
          <w:sz w:val="20"/>
          <w:szCs w:val="20"/>
          <w:lang w:val="sr-Cyrl-CS"/>
        </w:rPr>
      </w:pPr>
      <w:r w:rsidRPr="003649D8">
        <w:rPr>
          <w:b/>
          <w:sz w:val="20"/>
          <w:szCs w:val="20"/>
          <w:lang w:val="sr-Cyrl-CS"/>
        </w:rPr>
        <w:t>Про</w:t>
      </w:r>
      <w:r w:rsidR="004B5256">
        <w:rPr>
          <w:b/>
          <w:sz w:val="20"/>
          <w:szCs w:val="20"/>
          <w:lang w:val="sr-Cyrl-CS"/>
        </w:rPr>
        <w:t xml:space="preserve">дају јавним надметањем </w:t>
      </w:r>
      <w:r w:rsidR="00E95C88">
        <w:rPr>
          <w:b/>
          <w:sz w:val="20"/>
          <w:szCs w:val="20"/>
          <w:lang w:val="sr-Cyrl-CS"/>
        </w:rPr>
        <w:t xml:space="preserve">(друго оглашавање) </w:t>
      </w:r>
      <w:r w:rsidR="004B5256">
        <w:rPr>
          <w:b/>
          <w:sz w:val="20"/>
          <w:szCs w:val="20"/>
          <w:lang w:val="sr-Cyrl-CS"/>
        </w:rPr>
        <w:t xml:space="preserve">на дан </w:t>
      </w:r>
      <w:r w:rsidR="00E95C88">
        <w:rPr>
          <w:b/>
          <w:sz w:val="20"/>
          <w:szCs w:val="20"/>
          <w:lang w:val="sr-Cyrl-CS"/>
        </w:rPr>
        <w:t>17.09</w:t>
      </w:r>
      <w:r w:rsidRPr="003649D8">
        <w:rPr>
          <w:b/>
          <w:sz w:val="20"/>
          <w:szCs w:val="20"/>
          <w:lang w:val="sr-Cyrl-CS"/>
        </w:rPr>
        <w:t>.2015. године</w:t>
      </w:r>
    </w:p>
    <w:p w:rsidR="003976FE" w:rsidRPr="003649D8" w:rsidRDefault="003976FE" w:rsidP="00D5208F">
      <w:pPr>
        <w:jc w:val="center"/>
        <w:rPr>
          <w:b/>
          <w:sz w:val="20"/>
          <w:szCs w:val="20"/>
          <w:lang w:val="sr-Cyrl-CS"/>
        </w:rPr>
      </w:pPr>
      <w:r w:rsidRPr="003649D8">
        <w:rPr>
          <w:b/>
          <w:sz w:val="20"/>
          <w:szCs w:val="20"/>
          <w:lang w:val="sr-Cyrl-CS"/>
        </w:rPr>
        <w:t>стечајног дужника као правног лица</w:t>
      </w:r>
    </w:p>
    <w:p w:rsidR="003976FE" w:rsidRPr="003649D8" w:rsidRDefault="003976FE" w:rsidP="00D5208F">
      <w:pPr>
        <w:jc w:val="center"/>
        <w:rPr>
          <w:b/>
          <w:sz w:val="20"/>
          <w:szCs w:val="20"/>
          <w:lang w:val="sr-Cyrl-CS"/>
        </w:rPr>
      </w:pPr>
      <w:r w:rsidRPr="003649D8">
        <w:rPr>
          <w:b/>
          <w:sz w:val="20"/>
          <w:szCs w:val="20"/>
          <w:lang w:val="sr-Cyrl-CS"/>
        </w:rPr>
        <w:t>процењене вредности на 60.862.000,00 динара</w:t>
      </w:r>
    </w:p>
    <w:p w:rsidR="003976FE" w:rsidRDefault="003976FE" w:rsidP="003976FE">
      <w:pPr>
        <w:rPr>
          <w:sz w:val="18"/>
          <w:szCs w:val="18"/>
          <w:lang w:val="sr-Cyrl-CS"/>
        </w:rPr>
      </w:pPr>
      <w:r>
        <w:rPr>
          <w:b/>
          <w:sz w:val="18"/>
          <w:szCs w:val="18"/>
          <w:lang w:val="sr-Cyrl-CS"/>
        </w:rPr>
        <w:t xml:space="preserve">Предмет продаје је стечајни дужник као правно лице. </w:t>
      </w:r>
      <w:r>
        <w:rPr>
          <w:sz w:val="18"/>
          <w:szCs w:val="18"/>
          <w:lang w:val="sr-Cyrl-CS"/>
        </w:rPr>
        <w:t>Најважнију имовину стечајног дужника чини :</w:t>
      </w:r>
    </w:p>
    <w:tbl>
      <w:tblPr>
        <w:tblStyle w:val="TableGrid"/>
        <w:tblW w:w="10456" w:type="dxa"/>
        <w:tblLook w:val="04A0"/>
      </w:tblPr>
      <w:tblGrid>
        <w:gridCol w:w="3642"/>
        <w:gridCol w:w="710"/>
        <w:gridCol w:w="718"/>
        <w:gridCol w:w="708"/>
        <w:gridCol w:w="4678"/>
      </w:tblGrid>
      <w:tr w:rsidR="002D3EB7" w:rsidTr="00E86957">
        <w:trPr>
          <w:trHeight w:val="234"/>
        </w:trPr>
        <w:tc>
          <w:tcPr>
            <w:tcW w:w="3642" w:type="dxa"/>
            <w:shd w:val="pct10" w:color="auto" w:fill="FFFFFF" w:themeFill="background1"/>
            <w:vAlign w:val="center"/>
          </w:tcPr>
          <w:p w:rsidR="002D3EB7" w:rsidRDefault="002D3EB7" w:rsidP="009F6F5C">
            <w:pPr>
              <w:jc w:val="center"/>
              <w:rPr>
                <w:sz w:val="18"/>
                <w:szCs w:val="18"/>
                <w:lang w:val="sr-Cyrl-CS"/>
              </w:rPr>
            </w:pPr>
            <w:r w:rsidRPr="000618CF">
              <w:rPr>
                <w:sz w:val="16"/>
                <w:szCs w:val="16"/>
                <w:lang w:val="sr-Cyrl-CS"/>
              </w:rPr>
              <w:t>ОПИС</w:t>
            </w:r>
          </w:p>
        </w:tc>
        <w:tc>
          <w:tcPr>
            <w:tcW w:w="2136" w:type="dxa"/>
            <w:gridSpan w:val="3"/>
            <w:shd w:val="pct10" w:color="auto" w:fill="FFFFFF" w:themeFill="background1"/>
            <w:vAlign w:val="center"/>
          </w:tcPr>
          <w:p w:rsidR="002D3EB7" w:rsidRDefault="002D3EB7" w:rsidP="008428F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% </w:t>
            </w:r>
            <w:r w:rsidRPr="000618CF">
              <w:rPr>
                <w:sz w:val="16"/>
                <w:szCs w:val="16"/>
                <w:lang w:val="sr-Cyrl-CS"/>
              </w:rPr>
              <w:t>УЧЕШЋА</w:t>
            </w:r>
          </w:p>
        </w:tc>
        <w:tc>
          <w:tcPr>
            <w:tcW w:w="4678" w:type="dxa"/>
            <w:shd w:val="pct10" w:color="auto" w:fill="FFFFFF" w:themeFill="background1"/>
            <w:vAlign w:val="center"/>
          </w:tcPr>
          <w:p w:rsidR="002D3EB7" w:rsidRDefault="002D3EB7" w:rsidP="008428F2">
            <w:pPr>
              <w:jc w:val="center"/>
              <w:rPr>
                <w:sz w:val="18"/>
                <w:szCs w:val="18"/>
                <w:lang w:val="sr-Cyrl-CS"/>
              </w:rPr>
            </w:pPr>
            <w:r w:rsidRPr="000618CF">
              <w:rPr>
                <w:sz w:val="16"/>
                <w:szCs w:val="16"/>
                <w:lang w:val="sr-Cyrl-CS"/>
              </w:rPr>
              <w:t>ОПИС</w:t>
            </w:r>
          </w:p>
        </w:tc>
      </w:tr>
      <w:tr w:rsidR="002D3EB7" w:rsidTr="00CD55D7">
        <w:trPr>
          <w:trHeight w:val="172"/>
        </w:trPr>
        <w:tc>
          <w:tcPr>
            <w:tcW w:w="3642" w:type="dxa"/>
            <w:vMerge w:val="restart"/>
            <w:vAlign w:val="center"/>
          </w:tcPr>
          <w:p w:rsidR="002D3EB7" w:rsidRPr="000618CF" w:rsidRDefault="002D3EB7" w:rsidP="009F6F5C">
            <w:pPr>
              <w:rPr>
                <w:sz w:val="16"/>
                <w:szCs w:val="16"/>
                <w:lang w:val="sr-Cyrl-CS"/>
              </w:rPr>
            </w:pPr>
            <w:r w:rsidRPr="000618CF">
              <w:rPr>
                <w:b/>
                <w:sz w:val="16"/>
                <w:szCs w:val="16"/>
                <w:lang w:val="sr-Cyrl-CS"/>
              </w:rPr>
              <w:t>НЕПОКРЕТН</w:t>
            </w:r>
            <w:r>
              <w:rPr>
                <w:b/>
                <w:sz w:val="16"/>
                <w:szCs w:val="16"/>
                <w:lang w:val="sr-Cyrl-CS"/>
              </w:rPr>
              <w:t xml:space="preserve">А ИМОВИНА </w:t>
            </w:r>
            <w:r w:rsidRPr="000618CF">
              <w:rPr>
                <w:sz w:val="16"/>
                <w:szCs w:val="16"/>
                <w:lang w:val="sr-Cyrl-CS"/>
              </w:rPr>
              <w:t>у оквиру ограђеног пословног комплекса на КП број 1568/1 КО ТРНАВА и на КП број 1568/2 КО ТРНАВА укупне</w:t>
            </w:r>
            <w:r>
              <w:rPr>
                <w:sz w:val="16"/>
                <w:szCs w:val="16"/>
                <w:lang w:val="sr-Cyrl-CS"/>
              </w:rPr>
              <w:t xml:space="preserve"> површине 0.87.</w:t>
            </w:r>
            <w:r w:rsidR="001A3B58">
              <w:rPr>
                <w:sz w:val="16"/>
                <w:szCs w:val="16"/>
              </w:rPr>
              <w:t>13</w:t>
            </w:r>
            <w:r w:rsidRPr="000618CF">
              <w:rPr>
                <w:sz w:val="16"/>
                <w:szCs w:val="16"/>
                <w:lang w:val="sr-Cyrl-CS"/>
              </w:rPr>
              <w:t xml:space="preserve"> ха и то :</w:t>
            </w:r>
          </w:p>
          <w:p w:rsidR="002D3EB7" w:rsidRPr="000618CF" w:rsidRDefault="002D3EB7" w:rsidP="009F6F5C">
            <w:pPr>
              <w:rPr>
                <w:sz w:val="16"/>
                <w:szCs w:val="16"/>
                <w:lang w:val="sr-Cyrl-CS"/>
              </w:rPr>
            </w:pPr>
            <w:r w:rsidRPr="000618CF">
              <w:rPr>
                <w:sz w:val="16"/>
                <w:szCs w:val="16"/>
                <w:lang w:val="sr-Cyrl-CS"/>
              </w:rPr>
              <w:t>А) Грађевински објекти постојећи : Зграда трговине, уписана као Зграда 1. – Помоћна зграда (199,00 м2) и Производна хала са хладњачом и пословном зградом, уписана као Зграда 2. – Зграда пољопривреде – ХЛАДЊАЧА (1.506,00 м2), све уписано у лист непокретности бр. 1246 КО Трнава и Објекат, уписан као Зграда 1. – Помоћна зграда (130,00 м2), све уписано у лист непокретности бр. 1660 КО Трнава.</w:t>
            </w:r>
          </w:p>
          <w:p w:rsidR="002D3EB7" w:rsidRPr="000618CF" w:rsidRDefault="002D3EB7" w:rsidP="009F6F5C">
            <w:pPr>
              <w:rPr>
                <w:sz w:val="16"/>
                <w:szCs w:val="16"/>
                <w:lang w:val="sr-Cyrl-CS"/>
              </w:rPr>
            </w:pPr>
            <w:r w:rsidRPr="000618CF">
              <w:rPr>
                <w:sz w:val="16"/>
                <w:szCs w:val="16"/>
                <w:lang w:val="sr-Cyrl-CS"/>
              </w:rPr>
              <w:t xml:space="preserve">Б) Грађевинско земљиште изван грађевинског подручја </w:t>
            </w:r>
            <w:r w:rsidR="001A3B58">
              <w:rPr>
                <w:sz w:val="16"/>
                <w:szCs w:val="16"/>
                <w:lang w:val="sr-Cyrl-CS"/>
              </w:rPr>
              <w:t xml:space="preserve">укупне површине </w:t>
            </w:r>
            <w:r w:rsidR="001A3B58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sr-Cyrl-CS"/>
              </w:rPr>
              <w:t>.</w:t>
            </w:r>
            <w:r w:rsidR="001A3B58">
              <w:rPr>
                <w:sz w:val="16"/>
                <w:szCs w:val="16"/>
              </w:rPr>
              <w:t>706</w:t>
            </w:r>
            <w:r>
              <w:rPr>
                <w:sz w:val="16"/>
                <w:szCs w:val="16"/>
                <w:lang w:val="sr-Cyrl-CS"/>
              </w:rPr>
              <w:t xml:space="preserve"> м2 и то :</w:t>
            </w:r>
            <w:r w:rsidRPr="000618CF">
              <w:rPr>
                <w:sz w:val="16"/>
                <w:szCs w:val="16"/>
                <w:lang w:val="sr-Cyrl-CS"/>
              </w:rPr>
              <w:t xml:space="preserve"> земљиште под зградом – објектом и земљ</w:t>
            </w:r>
            <w:r>
              <w:rPr>
                <w:sz w:val="16"/>
                <w:szCs w:val="16"/>
                <w:lang w:val="sr-Cyrl-CS"/>
              </w:rPr>
              <w:t>иште уз зграду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sr-Cyrl-CS"/>
              </w:rPr>
              <w:t xml:space="preserve"> </w:t>
            </w:r>
            <w:r w:rsidRPr="000618CF">
              <w:rPr>
                <w:sz w:val="16"/>
                <w:szCs w:val="16"/>
                <w:lang w:val="sr-Cyrl-CS"/>
              </w:rPr>
              <w:t>све уписано и листове непокретности бр. 1246 КО Трнава и бр. 1660 КО Трнава.</w:t>
            </w:r>
          </w:p>
          <w:p w:rsidR="002D3EB7" w:rsidRDefault="002D3EB7" w:rsidP="009F6F5C">
            <w:pPr>
              <w:rPr>
                <w:sz w:val="18"/>
                <w:szCs w:val="18"/>
                <w:lang w:val="sr-Cyrl-CS"/>
              </w:rPr>
            </w:pPr>
            <w:r w:rsidRPr="000618CF">
              <w:rPr>
                <w:sz w:val="16"/>
                <w:szCs w:val="16"/>
                <w:lang w:val="sr-Cyrl-CS"/>
              </w:rPr>
              <w:t>Непокретности су у књижном власништву стечајног дужника.</w:t>
            </w:r>
            <w:r w:rsidRPr="000618CF">
              <w:rPr>
                <w:sz w:val="16"/>
                <w:szCs w:val="16"/>
                <w:lang w:val="sr-Cyrl-CS"/>
              </w:rPr>
              <w:br/>
              <w:t>Непокретности су под теретом.</w:t>
            </w:r>
          </w:p>
        </w:tc>
        <w:tc>
          <w:tcPr>
            <w:tcW w:w="710" w:type="dxa"/>
            <w:vMerge w:val="restart"/>
            <w:vAlign w:val="center"/>
          </w:tcPr>
          <w:p w:rsidR="002D3EB7" w:rsidRDefault="002D3EB7" w:rsidP="009F6F5C">
            <w:pPr>
              <w:jc w:val="center"/>
              <w:rPr>
                <w:sz w:val="18"/>
                <w:szCs w:val="18"/>
                <w:lang w:val="sr-Cyrl-CS"/>
              </w:rPr>
            </w:pPr>
            <w:r w:rsidRPr="000618CF">
              <w:rPr>
                <w:sz w:val="16"/>
                <w:szCs w:val="16"/>
                <w:lang w:val="sr-Cyrl-CS"/>
              </w:rPr>
              <w:t>95,67</w:t>
            </w:r>
          </w:p>
        </w:tc>
        <w:tc>
          <w:tcPr>
            <w:tcW w:w="718" w:type="dxa"/>
            <w:vMerge w:val="restart"/>
            <w:shd w:val="pct10" w:color="auto" w:fill="FFFFFF" w:themeFill="background1"/>
            <w:vAlign w:val="center"/>
          </w:tcPr>
          <w:p w:rsidR="002D3EB7" w:rsidRDefault="002D3EB7" w:rsidP="00741990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100,00</w:t>
            </w:r>
          </w:p>
        </w:tc>
        <w:tc>
          <w:tcPr>
            <w:tcW w:w="708" w:type="dxa"/>
            <w:vAlign w:val="center"/>
          </w:tcPr>
          <w:p w:rsidR="002D3EB7" w:rsidRPr="002D3EB7" w:rsidRDefault="002D3EB7" w:rsidP="002D3EB7">
            <w:pPr>
              <w:jc w:val="center"/>
              <w:rPr>
                <w:sz w:val="16"/>
                <w:szCs w:val="16"/>
                <w:lang w:val="sr-Cyrl-CS"/>
              </w:rPr>
            </w:pPr>
            <w:r w:rsidRPr="002D3EB7">
              <w:rPr>
                <w:sz w:val="16"/>
                <w:szCs w:val="16"/>
                <w:lang w:val="sr-Cyrl-CS"/>
              </w:rPr>
              <w:t>3,10</w:t>
            </w:r>
          </w:p>
        </w:tc>
        <w:tc>
          <w:tcPr>
            <w:tcW w:w="4678" w:type="dxa"/>
            <w:vAlign w:val="center"/>
          </w:tcPr>
          <w:p w:rsidR="002D3EB7" w:rsidRDefault="002D3EB7" w:rsidP="008428F2">
            <w:pPr>
              <w:rPr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 xml:space="preserve">ПОКРЕТНА ИМОВИНА </w:t>
            </w:r>
            <w:r>
              <w:rPr>
                <w:sz w:val="16"/>
                <w:szCs w:val="16"/>
                <w:lang w:val="sr-Cyrl-CS"/>
              </w:rPr>
              <w:t xml:space="preserve">- Опрема, инвентар и залихе по спецификацији из продајне докуметације на локацији имовине у пословним просторијама стечајног дужника у Доњој Трнави </w:t>
            </w:r>
            <w:r w:rsidRPr="000618CF">
              <w:rPr>
                <w:sz w:val="16"/>
                <w:szCs w:val="16"/>
                <w:lang w:val="sr-Cyrl-CS"/>
              </w:rPr>
              <w:t xml:space="preserve">и </w:t>
            </w:r>
          </w:p>
          <w:p w:rsidR="002D3EB7" w:rsidRPr="000618CF" w:rsidRDefault="002D3EB7" w:rsidP="008428F2">
            <w:pPr>
              <w:rPr>
                <w:b/>
                <w:sz w:val="16"/>
                <w:szCs w:val="16"/>
                <w:lang w:val="sr-Cyrl-CS"/>
              </w:rPr>
            </w:pPr>
            <w:r w:rsidRPr="00E47EFF">
              <w:rPr>
                <w:b/>
                <w:sz w:val="16"/>
                <w:szCs w:val="16"/>
                <w:lang w:val="sr-Cyrl-CS"/>
              </w:rPr>
              <w:t>ПОТРАЖИВАЊА</w:t>
            </w:r>
            <w:r>
              <w:rPr>
                <w:sz w:val="16"/>
                <w:szCs w:val="16"/>
                <w:lang w:val="sr-Cyrl-CS"/>
              </w:rPr>
              <w:t xml:space="preserve"> - </w:t>
            </w:r>
            <w:r w:rsidRPr="000618CF">
              <w:rPr>
                <w:sz w:val="16"/>
                <w:szCs w:val="16"/>
                <w:lang w:val="sr-Cyrl-CS"/>
              </w:rPr>
              <w:t xml:space="preserve">потраживања од </w:t>
            </w:r>
            <w:r>
              <w:rPr>
                <w:sz w:val="16"/>
                <w:szCs w:val="16"/>
                <w:lang w:val="sr-Cyrl-CS"/>
              </w:rPr>
              <w:t>дужника стечајног дужника по</w:t>
            </w:r>
            <w:r w:rsidRPr="000618CF">
              <w:rPr>
                <w:sz w:val="16"/>
                <w:szCs w:val="16"/>
                <w:lang w:val="sr-Cyrl-CS"/>
              </w:rPr>
              <w:t xml:space="preserve"> спецификацији из продајне документације</w:t>
            </w:r>
            <w:r>
              <w:rPr>
                <w:sz w:val="16"/>
                <w:szCs w:val="16"/>
                <w:lang w:val="sr-Cyrl-CS"/>
              </w:rPr>
              <w:t>.</w:t>
            </w:r>
          </w:p>
        </w:tc>
      </w:tr>
      <w:tr w:rsidR="002D3EB7" w:rsidTr="00CD55D7">
        <w:trPr>
          <w:trHeight w:val="172"/>
        </w:trPr>
        <w:tc>
          <w:tcPr>
            <w:tcW w:w="3642" w:type="dxa"/>
            <w:vMerge/>
          </w:tcPr>
          <w:p w:rsidR="002D3EB7" w:rsidRPr="000618CF" w:rsidRDefault="002D3EB7" w:rsidP="009F6F5C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10" w:type="dxa"/>
            <w:vMerge/>
            <w:vAlign w:val="center"/>
          </w:tcPr>
          <w:p w:rsidR="002D3EB7" w:rsidRPr="000618CF" w:rsidRDefault="002D3EB7" w:rsidP="009F6F5C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18" w:type="dxa"/>
            <w:vMerge/>
            <w:shd w:val="pct10" w:color="auto" w:fill="FFFFFF" w:themeFill="background1"/>
            <w:vAlign w:val="center"/>
          </w:tcPr>
          <w:p w:rsidR="002D3EB7" w:rsidRDefault="002D3EB7" w:rsidP="00741990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8" w:type="dxa"/>
            <w:vAlign w:val="center"/>
          </w:tcPr>
          <w:p w:rsidR="002D3EB7" w:rsidRPr="000618CF" w:rsidRDefault="002D3EB7" w:rsidP="002D3EB7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0618CF">
              <w:rPr>
                <w:sz w:val="16"/>
                <w:szCs w:val="16"/>
                <w:lang w:val="sr-Cyrl-CS"/>
              </w:rPr>
              <w:t>1,23</w:t>
            </w:r>
          </w:p>
        </w:tc>
        <w:tc>
          <w:tcPr>
            <w:tcW w:w="4678" w:type="dxa"/>
            <w:vAlign w:val="center"/>
          </w:tcPr>
          <w:p w:rsidR="002D3EB7" w:rsidRPr="000618CF" w:rsidRDefault="002D3EB7" w:rsidP="008428F2">
            <w:pPr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 xml:space="preserve">ПОКРЕТНА ИМОВИНА </w:t>
            </w:r>
            <w:r>
              <w:rPr>
                <w:sz w:val="16"/>
                <w:szCs w:val="16"/>
                <w:lang w:val="sr-Cyrl-CS"/>
              </w:rPr>
              <w:t>-</w:t>
            </w:r>
            <w:r>
              <w:rPr>
                <w:b/>
                <w:sz w:val="16"/>
                <w:szCs w:val="16"/>
                <w:lang w:val="sr-Cyrl-CS"/>
              </w:rPr>
              <w:t xml:space="preserve"> </w:t>
            </w:r>
            <w:r w:rsidRPr="000618CF">
              <w:rPr>
                <w:sz w:val="16"/>
                <w:szCs w:val="16"/>
                <w:lang w:val="sr-Cyrl-CS"/>
              </w:rPr>
              <w:t>Део покретне имовине (Расхладни с</w:t>
            </w:r>
            <w:r>
              <w:rPr>
                <w:sz w:val="16"/>
                <w:szCs w:val="16"/>
                <w:lang w:val="sr-Cyrl-CS"/>
              </w:rPr>
              <w:t xml:space="preserve">иситем хладњаче) је под теретом уписом извршеним у Регистру заложног права на покретним стварима и правима </w:t>
            </w:r>
            <w:r w:rsidRPr="000618CF">
              <w:rPr>
                <w:sz w:val="16"/>
                <w:szCs w:val="16"/>
                <w:lang w:val="sr-Cyrl-CS"/>
              </w:rPr>
              <w:t>Под Зл.бр. 4232/09.</w:t>
            </w:r>
          </w:p>
        </w:tc>
      </w:tr>
      <w:tr w:rsidR="002D3EB7" w:rsidTr="00CD55D7">
        <w:trPr>
          <w:trHeight w:val="1047"/>
        </w:trPr>
        <w:tc>
          <w:tcPr>
            <w:tcW w:w="3642" w:type="dxa"/>
            <w:vMerge/>
          </w:tcPr>
          <w:p w:rsidR="002D3EB7" w:rsidRPr="000618CF" w:rsidRDefault="002D3EB7" w:rsidP="009F6F5C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10" w:type="dxa"/>
            <w:vMerge/>
            <w:vAlign w:val="center"/>
          </w:tcPr>
          <w:p w:rsidR="002D3EB7" w:rsidRPr="000618CF" w:rsidRDefault="002D3EB7" w:rsidP="009F6F5C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18" w:type="dxa"/>
            <w:vMerge/>
            <w:shd w:val="pct10" w:color="auto" w:fill="FFFFFF" w:themeFill="background1"/>
            <w:vAlign w:val="center"/>
          </w:tcPr>
          <w:p w:rsidR="002D3EB7" w:rsidRDefault="002D3EB7" w:rsidP="00741990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8" w:type="dxa"/>
            <w:vAlign w:val="center"/>
          </w:tcPr>
          <w:p w:rsidR="002D3EB7" w:rsidRDefault="002D3EB7" w:rsidP="002D3EB7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0,00</w:t>
            </w:r>
          </w:p>
        </w:tc>
        <w:tc>
          <w:tcPr>
            <w:tcW w:w="4678" w:type="dxa"/>
            <w:vAlign w:val="center"/>
          </w:tcPr>
          <w:p w:rsidR="002D3EB7" w:rsidRPr="009C5844" w:rsidRDefault="002D3EB7" w:rsidP="008428F2">
            <w:pPr>
              <w:rPr>
                <w:sz w:val="18"/>
                <w:szCs w:val="18"/>
              </w:rPr>
            </w:pPr>
            <w:r w:rsidRPr="00E47EFF">
              <w:rPr>
                <w:b/>
                <w:sz w:val="16"/>
                <w:szCs w:val="16"/>
                <w:lang w:val="sr-Cyrl-CS"/>
              </w:rPr>
              <w:t>УДЕЛИ У ДРУГОМ ПРАВНОМ ЛИЦУ</w:t>
            </w:r>
            <w:r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 xml:space="preserve">- </w:t>
            </w:r>
            <w:r w:rsidRPr="000618CF">
              <w:rPr>
                <w:sz w:val="16"/>
                <w:szCs w:val="16"/>
                <w:lang w:val="sr-Cyrl-CS"/>
              </w:rPr>
              <w:t>Удео од 49 % у оснивачком капиталу Привредном друштву „M &amp; D DRINK COMPANY“</w:t>
            </w:r>
            <w:r w:rsidRPr="000618CF">
              <w:rPr>
                <w:sz w:val="16"/>
                <w:szCs w:val="16"/>
              </w:rPr>
              <w:t xml:space="preserve"> DOO DONJA TRNAVA, мат.бр. : 20312971, ПИБ : 105099084, шифра делатности : 1101 – Дестилација</w:t>
            </w:r>
            <w:r w:rsidR="009C5844">
              <w:rPr>
                <w:sz w:val="16"/>
                <w:szCs w:val="16"/>
              </w:rPr>
              <w:t>.</w:t>
            </w:r>
          </w:p>
        </w:tc>
      </w:tr>
      <w:tr w:rsidR="002D3EB7" w:rsidTr="00CD55D7">
        <w:trPr>
          <w:trHeight w:val="1299"/>
        </w:trPr>
        <w:tc>
          <w:tcPr>
            <w:tcW w:w="3642" w:type="dxa"/>
            <w:vMerge/>
          </w:tcPr>
          <w:p w:rsidR="002D3EB7" w:rsidRPr="000618CF" w:rsidRDefault="002D3EB7" w:rsidP="009F6F5C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10" w:type="dxa"/>
            <w:vMerge/>
            <w:vAlign w:val="center"/>
          </w:tcPr>
          <w:p w:rsidR="002D3EB7" w:rsidRPr="000618CF" w:rsidRDefault="002D3EB7" w:rsidP="009F6F5C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18" w:type="dxa"/>
            <w:vMerge/>
            <w:shd w:val="pct10" w:color="auto" w:fill="FFFFFF" w:themeFill="background1"/>
            <w:vAlign w:val="center"/>
          </w:tcPr>
          <w:p w:rsidR="002D3EB7" w:rsidRDefault="002D3EB7" w:rsidP="003976FE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708" w:type="dxa"/>
            <w:vAlign w:val="center"/>
          </w:tcPr>
          <w:p w:rsidR="002D3EB7" w:rsidRDefault="002D3EB7" w:rsidP="008428F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0,00</w:t>
            </w:r>
          </w:p>
        </w:tc>
        <w:tc>
          <w:tcPr>
            <w:tcW w:w="4678" w:type="dxa"/>
            <w:vAlign w:val="center"/>
          </w:tcPr>
          <w:p w:rsidR="002D3EB7" w:rsidRPr="009C5844" w:rsidRDefault="002D3EB7" w:rsidP="009C5844">
            <w:pPr>
              <w:pStyle w:val="Default"/>
            </w:pPr>
            <w:r w:rsidRPr="00E47EFF">
              <w:rPr>
                <w:b/>
                <w:sz w:val="16"/>
                <w:szCs w:val="16"/>
                <w:lang w:val="sr-Cyrl-CS"/>
              </w:rPr>
              <w:t xml:space="preserve">ИНТЕЛЕКТУАЛНА СВОЈИНА – </w:t>
            </w:r>
            <w:r w:rsidRPr="00E47EFF">
              <w:rPr>
                <w:b/>
                <w:sz w:val="16"/>
                <w:szCs w:val="16"/>
              </w:rPr>
              <w:t>KNOW HOW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Предверификациони докумемент за стицање сертификата по захтевима SRPS 9001 : 2011 и општих принципа хигјене хране (НАССР) – Пословник о квалитету и безбедности хране HMQ.00.00</w:t>
            </w:r>
            <w:r w:rsidR="00B81719">
              <w:rPr>
                <w:sz w:val="16"/>
                <w:szCs w:val="16"/>
              </w:rPr>
              <w:t>, Сертификат LM Zehr VT, право на коришћење дозволе за производњу алкохолних пића од воћа, Ст</w:t>
            </w:r>
            <w:r w:rsidR="009C5844">
              <w:rPr>
                <w:sz w:val="16"/>
                <w:szCs w:val="16"/>
              </w:rPr>
              <w:t>удија за спаљивање коштица и др.</w:t>
            </w:r>
          </w:p>
        </w:tc>
      </w:tr>
      <w:tr w:rsidR="002D3EB7" w:rsidTr="00CD55D7">
        <w:trPr>
          <w:trHeight w:val="695"/>
        </w:trPr>
        <w:tc>
          <w:tcPr>
            <w:tcW w:w="3642" w:type="dxa"/>
            <w:vMerge/>
          </w:tcPr>
          <w:p w:rsidR="002D3EB7" w:rsidRPr="000618CF" w:rsidRDefault="002D3EB7" w:rsidP="00741990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710" w:type="dxa"/>
            <w:vMerge/>
            <w:vAlign w:val="center"/>
          </w:tcPr>
          <w:p w:rsidR="002D3EB7" w:rsidRPr="000618CF" w:rsidRDefault="002D3EB7" w:rsidP="009F6F5C">
            <w:pPr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18" w:type="dxa"/>
            <w:vMerge/>
            <w:shd w:val="pct10" w:color="auto" w:fill="FFFFFF" w:themeFill="background1"/>
            <w:vAlign w:val="center"/>
          </w:tcPr>
          <w:p w:rsidR="002D3EB7" w:rsidRDefault="002D3EB7" w:rsidP="003976FE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708" w:type="dxa"/>
            <w:vAlign w:val="center"/>
          </w:tcPr>
          <w:p w:rsidR="002D3EB7" w:rsidRDefault="002D3EB7" w:rsidP="008428F2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0,00</w:t>
            </w:r>
          </w:p>
        </w:tc>
        <w:tc>
          <w:tcPr>
            <w:tcW w:w="4678" w:type="dxa"/>
            <w:vAlign w:val="center"/>
          </w:tcPr>
          <w:p w:rsidR="002D3EB7" w:rsidRDefault="002D3EB7" w:rsidP="00B81719">
            <w:pPr>
              <w:rPr>
                <w:sz w:val="18"/>
                <w:szCs w:val="18"/>
                <w:lang w:val="sr-Cyrl-CS"/>
              </w:rPr>
            </w:pPr>
            <w:r w:rsidRPr="00627EDE">
              <w:rPr>
                <w:b/>
                <w:sz w:val="16"/>
                <w:szCs w:val="16"/>
                <w:lang w:val="sr-Cyrl-CS"/>
              </w:rPr>
              <w:t>СПОРОВИ СА АКТИВНОМ ЛЕГИТИМАЦИЈОМ</w:t>
            </w:r>
            <w:r>
              <w:rPr>
                <w:sz w:val="16"/>
                <w:szCs w:val="16"/>
                <w:lang w:val="sr-Cyrl-CS"/>
              </w:rPr>
              <w:t xml:space="preserve"> - Парнични поступци у Привредном суду у Крагујевцу означени као :  П –835/2014, П – 479/2015 и  П – 764/2015.</w:t>
            </w:r>
          </w:p>
        </w:tc>
      </w:tr>
    </w:tbl>
    <w:p w:rsidR="00750AF2" w:rsidRPr="003976FE" w:rsidRDefault="00750AF2" w:rsidP="003976FE">
      <w:pPr>
        <w:rPr>
          <w:sz w:val="18"/>
          <w:szCs w:val="18"/>
          <w:lang w:val="sr-Cyrl-CS"/>
        </w:rPr>
      </w:pPr>
    </w:p>
    <w:tbl>
      <w:tblPr>
        <w:tblW w:w="10456" w:type="dxa"/>
        <w:tblLayout w:type="fixed"/>
        <w:tblLook w:val="04A0"/>
      </w:tblPr>
      <w:tblGrid>
        <w:gridCol w:w="1072"/>
        <w:gridCol w:w="474"/>
        <w:gridCol w:w="8910"/>
      </w:tblGrid>
      <w:tr w:rsidR="009C5844" w:rsidRPr="000618CF" w:rsidTr="009C5844">
        <w:tc>
          <w:tcPr>
            <w:tcW w:w="1072" w:type="dxa"/>
          </w:tcPr>
          <w:p w:rsidR="009C5844" w:rsidRPr="000618CF" w:rsidRDefault="009C5844" w:rsidP="009B604E">
            <w:pPr>
              <w:rPr>
                <w:sz w:val="16"/>
                <w:szCs w:val="16"/>
                <w:lang w:val="sr-Cyrl-CS"/>
              </w:rPr>
            </w:pPr>
            <w:r w:rsidRPr="000618CF">
              <w:rPr>
                <w:sz w:val="16"/>
                <w:szCs w:val="16"/>
                <w:lang w:val="sr-Cyrl-CS"/>
              </w:rPr>
              <w:t>Напомене :</w:t>
            </w:r>
          </w:p>
        </w:tc>
        <w:tc>
          <w:tcPr>
            <w:tcW w:w="474" w:type="dxa"/>
          </w:tcPr>
          <w:p w:rsidR="009C5844" w:rsidRPr="000618CF" w:rsidRDefault="009C5844" w:rsidP="00B61C5F">
            <w:pPr>
              <w:rPr>
                <w:sz w:val="16"/>
                <w:szCs w:val="16"/>
                <w:lang w:val="sr-Cyrl-CS"/>
              </w:rPr>
            </w:pPr>
            <w:r w:rsidRPr="000618CF">
              <w:rPr>
                <w:sz w:val="16"/>
                <w:szCs w:val="16"/>
                <w:lang w:val="sr-Cyrl-CS"/>
              </w:rPr>
              <w:t>(1)</w:t>
            </w:r>
          </w:p>
        </w:tc>
        <w:tc>
          <w:tcPr>
            <w:tcW w:w="8910" w:type="dxa"/>
            <w:vAlign w:val="center"/>
          </w:tcPr>
          <w:p w:rsidR="009C5844" w:rsidRPr="000618CF" w:rsidRDefault="009C5844" w:rsidP="00B61C5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Преглед целокупне </w:t>
            </w:r>
            <w:r w:rsidRPr="000618CF">
              <w:rPr>
                <w:sz w:val="16"/>
                <w:szCs w:val="16"/>
                <w:lang w:val="sr-Cyrl-CS"/>
              </w:rPr>
              <w:t xml:space="preserve">имовине стечајног дужника, као и статус исте, </w:t>
            </w:r>
            <w:r>
              <w:rPr>
                <w:sz w:val="16"/>
                <w:szCs w:val="16"/>
                <w:lang w:val="sr-Cyrl-CS"/>
              </w:rPr>
              <w:t xml:space="preserve">ближе је описан </w:t>
            </w:r>
            <w:r w:rsidRPr="000618CF">
              <w:rPr>
                <w:sz w:val="16"/>
                <w:szCs w:val="16"/>
                <w:lang w:val="sr-Cyrl-CS"/>
              </w:rPr>
              <w:t>у продајној документацији;</w:t>
            </w:r>
          </w:p>
        </w:tc>
      </w:tr>
      <w:tr w:rsidR="009C5844" w:rsidRPr="000618CF" w:rsidTr="009C5844">
        <w:tc>
          <w:tcPr>
            <w:tcW w:w="1072" w:type="dxa"/>
          </w:tcPr>
          <w:p w:rsidR="009C5844" w:rsidRPr="000618CF" w:rsidRDefault="009C5844" w:rsidP="00B55FF7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474" w:type="dxa"/>
          </w:tcPr>
          <w:p w:rsidR="009C5844" w:rsidRPr="000618CF" w:rsidRDefault="009C5844" w:rsidP="00B55FF7">
            <w:pPr>
              <w:rPr>
                <w:sz w:val="16"/>
                <w:szCs w:val="16"/>
                <w:lang w:val="sr-Cyrl-CS"/>
              </w:rPr>
            </w:pPr>
            <w:r w:rsidRPr="000618CF">
              <w:rPr>
                <w:sz w:val="16"/>
                <w:szCs w:val="16"/>
                <w:lang w:val="sr-Cyrl-CS"/>
              </w:rPr>
              <w:t>(2)</w:t>
            </w:r>
          </w:p>
        </w:tc>
        <w:tc>
          <w:tcPr>
            <w:tcW w:w="8910" w:type="dxa"/>
            <w:vAlign w:val="center"/>
          </w:tcPr>
          <w:p w:rsidR="009C5844" w:rsidRPr="000618CF" w:rsidRDefault="009C5844" w:rsidP="00B55FF7">
            <w:pPr>
              <w:rPr>
                <w:sz w:val="16"/>
                <w:szCs w:val="16"/>
                <w:lang w:val="sr-Cyrl-CS"/>
              </w:rPr>
            </w:pPr>
            <w:r w:rsidRPr="000618CF">
              <w:rPr>
                <w:sz w:val="16"/>
                <w:szCs w:val="16"/>
                <w:lang w:val="sr-Cyrl-CS"/>
              </w:rPr>
              <w:t>Све што није садржано</w:t>
            </w:r>
            <w:r>
              <w:rPr>
                <w:sz w:val="16"/>
                <w:szCs w:val="16"/>
                <w:lang w:val="sr-Cyrl-CS"/>
              </w:rPr>
              <w:t xml:space="preserve"> у продајној документацији </w:t>
            </w:r>
            <w:r w:rsidRPr="000618CF">
              <w:rPr>
                <w:sz w:val="16"/>
                <w:szCs w:val="16"/>
                <w:lang w:val="sr-Cyrl-CS"/>
              </w:rPr>
              <w:t xml:space="preserve">није предмет продаје </w:t>
            </w:r>
            <w:r>
              <w:rPr>
                <w:sz w:val="16"/>
                <w:szCs w:val="16"/>
                <w:lang w:val="sr-Cyrl-CS"/>
              </w:rPr>
              <w:t xml:space="preserve">и </w:t>
            </w:r>
            <w:r w:rsidRPr="000618CF">
              <w:rPr>
                <w:sz w:val="16"/>
                <w:szCs w:val="16"/>
                <w:lang w:val="sr-Cyrl-CS"/>
              </w:rPr>
              <w:t>улази у стечајну масу;</w:t>
            </w:r>
          </w:p>
        </w:tc>
      </w:tr>
      <w:tr w:rsidR="009C5844" w:rsidRPr="000618CF" w:rsidTr="009C5844">
        <w:tc>
          <w:tcPr>
            <w:tcW w:w="1072" w:type="dxa"/>
          </w:tcPr>
          <w:p w:rsidR="009C5844" w:rsidRPr="000618CF" w:rsidRDefault="009C5844" w:rsidP="00B55FF7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474" w:type="dxa"/>
          </w:tcPr>
          <w:p w:rsidR="009C5844" w:rsidRPr="000618CF" w:rsidRDefault="009C5844" w:rsidP="00B55FF7">
            <w:pPr>
              <w:rPr>
                <w:sz w:val="16"/>
                <w:szCs w:val="16"/>
                <w:lang w:val="sr-Cyrl-CS"/>
              </w:rPr>
            </w:pPr>
            <w:r w:rsidRPr="000618CF">
              <w:rPr>
                <w:sz w:val="16"/>
                <w:szCs w:val="16"/>
                <w:lang w:val="sr-Cyrl-CS"/>
              </w:rPr>
              <w:t>(3)</w:t>
            </w:r>
          </w:p>
        </w:tc>
        <w:tc>
          <w:tcPr>
            <w:tcW w:w="8910" w:type="dxa"/>
            <w:vAlign w:val="center"/>
          </w:tcPr>
          <w:p w:rsidR="009C5844" w:rsidRPr="000618CF" w:rsidRDefault="009C5844" w:rsidP="00B55FF7">
            <w:pPr>
              <w:rPr>
                <w:sz w:val="16"/>
                <w:szCs w:val="16"/>
                <w:lang w:val="sr-Cyrl-CS"/>
              </w:rPr>
            </w:pPr>
            <w:r w:rsidRPr="000618CF">
              <w:rPr>
                <w:sz w:val="16"/>
                <w:szCs w:val="16"/>
                <w:lang w:val="sr-Cyrl-CS"/>
              </w:rPr>
              <w:t>У Згради бр. 2 налази се опрема за производњу алкохо</w:t>
            </w:r>
            <w:r>
              <w:rPr>
                <w:sz w:val="16"/>
                <w:szCs w:val="16"/>
                <w:lang w:val="sr-Cyrl-CS"/>
              </w:rPr>
              <w:t>лног дестилата која није</w:t>
            </w:r>
            <w:r w:rsidRPr="000618CF">
              <w:rPr>
                <w:sz w:val="16"/>
                <w:szCs w:val="16"/>
                <w:lang w:val="sr-Cyrl-CS"/>
              </w:rPr>
              <w:t xml:space="preserve"> власништво стечајног дужника те </w:t>
            </w:r>
            <w:r>
              <w:rPr>
                <w:sz w:val="16"/>
                <w:szCs w:val="16"/>
                <w:lang w:val="sr-Cyrl-CS"/>
              </w:rPr>
              <w:t>се иста</w:t>
            </w:r>
            <w:r w:rsidRPr="000618CF">
              <w:rPr>
                <w:sz w:val="16"/>
                <w:szCs w:val="16"/>
                <w:lang w:val="sr-Cyrl-CS"/>
              </w:rPr>
              <w:t xml:space="preserve"> не </w:t>
            </w:r>
            <w:r>
              <w:rPr>
                <w:sz w:val="16"/>
                <w:szCs w:val="16"/>
                <w:lang w:val="sr-Cyrl-CS"/>
              </w:rPr>
              <w:t xml:space="preserve">  излаже</w:t>
            </w:r>
            <w:r w:rsidRPr="000618CF">
              <w:rPr>
                <w:sz w:val="16"/>
                <w:szCs w:val="16"/>
                <w:lang w:val="sr-Cyrl-CS"/>
              </w:rPr>
              <w:t xml:space="preserve"> продаји и</w:t>
            </w:r>
          </w:p>
        </w:tc>
      </w:tr>
      <w:tr w:rsidR="009C5844" w:rsidRPr="000618CF" w:rsidTr="009C5844">
        <w:tc>
          <w:tcPr>
            <w:tcW w:w="1072" w:type="dxa"/>
          </w:tcPr>
          <w:p w:rsidR="009C5844" w:rsidRPr="000618CF" w:rsidRDefault="009C5844" w:rsidP="00B55FF7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474" w:type="dxa"/>
          </w:tcPr>
          <w:p w:rsidR="009C5844" w:rsidRPr="000618CF" w:rsidRDefault="009C5844" w:rsidP="00B55FF7">
            <w:pPr>
              <w:rPr>
                <w:sz w:val="16"/>
                <w:szCs w:val="16"/>
                <w:lang w:val="sr-Cyrl-CS"/>
              </w:rPr>
            </w:pPr>
            <w:r w:rsidRPr="000618CF">
              <w:rPr>
                <w:sz w:val="16"/>
                <w:szCs w:val="16"/>
                <w:lang w:val="sr-Cyrl-CS"/>
              </w:rPr>
              <w:t>(4)</w:t>
            </w:r>
          </w:p>
        </w:tc>
        <w:tc>
          <w:tcPr>
            <w:tcW w:w="8910" w:type="dxa"/>
            <w:vAlign w:val="center"/>
          </w:tcPr>
          <w:p w:rsidR="009C5844" w:rsidRPr="000618CF" w:rsidRDefault="009C5844" w:rsidP="00B55FF7">
            <w:pPr>
              <w:rPr>
                <w:sz w:val="16"/>
                <w:szCs w:val="16"/>
                <w:lang w:val="sr-Cyrl-CS"/>
              </w:rPr>
            </w:pPr>
            <w:r w:rsidRPr="000618CF">
              <w:rPr>
                <w:sz w:val="16"/>
                <w:szCs w:val="16"/>
                <w:lang w:val="sr-Cyrl-CS"/>
              </w:rPr>
              <w:t>Стечајни дужник није у систему ПДВ-а.</w:t>
            </w:r>
          </w:p>
        </w:tc>
      </w:tr>
    </w:tbl>
    <w:p w:rsidR="009C5844" w:rsidRDefault="009C5844" w:rsidP="00B55FF7">
      <w:pPr>
        <w:rPr>
          <w:b/>
          <w:sz w:val="20"/>
          <w:szCs w:val="20"/>
          <w:lang w:val="sr-Cyrl-CS"/>
        </w:rPr>
      </w:pPr>
    </w:p>
    <w:p w:rsidR="003649D8" w:rsidRDefault="003649D8" w:rsidP="00B55FF7">
      <w:pPr>
        <w:rPr>
          <w:b/>
          <w:sz w:val="20"/>
          <w:szCs w:val="20"/>
          <w:lang w:val="sr-Cyrl-CS"/>
        </w:rPr>
      </w:pPr>
      <w:r w:rsidRPr="003649D8">
        <w:rPr>
          <w:b/>
          <w:sz w:val="20"/>
          <w:szCs w:val="20"/>
          <w:lang w:val="sr-Cyrl-CS"/>
        </w:rPr>
        <w:lastRenderedPageBreak/>
        <w:t>По</w:t>
      </w:r>
      <w:r>
        <w:rPr>
          <w:b/>
          <w:sz w:val="20"/>
          <w:szCs w:val="20"/>
          <w:lang w:val="sr-Cyrl-CS"/>
        </w:rPr>
        <w:t xml:space="preserve">четна цена </w:t>
      </w:r>
      <w:r w:rsidR="004B5256">
        <w:rPr>
          <w:b/>
          <w:sz w:val="20"/>
          <w:szCs w:val="20"/>
        </w:rPr>
        <w:t>на</w:t>
      </w:r>
      <w:r w:rsidR="00CB1025">
        <w:rPr>
          <w:b/>
          <w:sz w:val="20"/>
          <w:szCs w:val="20"/>
        </w:rPr>
        <w:t xml:space="preserve"> јавном надметању </w:t>
      </w:r>
      <w:r w:rsidR="00CB1025">
        <w:rPr>
          <w:b/>
          <w:sz w:val="20"/>
          <w:szCs w:val="20"/>
          <w:lang w:val="sr-Cyrl-CS"/>
        </w:rPr>
        <w:t>износи</w:t>
      </w:r>
      <w:r w:rsidR="00907879">
        <w:rPr>
          <w:b/>
          <w:sz w:val="20"/>
          <w:szCs w:val="20"/>
          <w:lang w:val="sr-Cyrl-CS"/>
        </w:rPr>
        <w:t xml:space="preserve"> : </w:t>
      </w:r>
      <w:r w:rsidR="00DA6188">
        <w:rPr>
          <w:b/>
          <w:sz w:val="20"/>
          <w:szCs w:val="20"/>
          <w:lang w:val="sr-Cyrl-CS"/>
        </w:rPr>
        <w:t>18</w:t>
      </w:r>
      <w:r w:rsidR="00907879">
        <w:rPr>
          <w:b/>
          <w:sz w:val="20"/>
          <w:szCs w:val="20"/>
          <w:lang w:val="sr-Cyrl-CS"/>
        </w:rPr>
        <w:t>.</w:t>
      </w:r>
      <w:r w:rsidR="00DA6188">
        <w:rPr>
          <w:b/>
          <w:sz w:val="20"/>
          <w:szCs w:val="20"/>
          <w:lang w:val="sr-Cyrl-CS"/>
        </w:rPr>
        <w:t>258.6</w:t>
      </w:r>
      <w:r>
        <w:rPr>
          <w:b/>
          <w:sz w:val="20"/>
          <w:szCs w:val="20"/>
          <w:lang w:val="sr-Cyrl-CS"/>
        </w:rPr>
        <w:t>00,00 динара.</w:t>
      </w:r>
    </w:p>
    <w:p w:rsidR="003649D8" w:rsidRPr="003649D8" w:rsidRDefault="003649D8" w:rsidP="00B55FF7">
      <w:pPr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 xml:space="preserve">Гарантни депозит </w:t>
      </w:r>
      <w:r w:rsidR="00CB1025">
        <w:rPr>
          <w:b/>
          <w:sz w:val="20"/>
          <w:szCs w:val="20"/>
          <w:lang w:val="sr-Cyrl-CS"/>
        </w:rPr>
        <w:t xml:space="preserve">за учешће на </w:t>
      </w:r>
      <w:r w:rsidR="00CB1025">
        <w:rPr>
          <w:b/>
          <w:sz w:val="20"/>
          <w:szCs w:val="20"/>
        </w:rPr>
        <w:t xml:space="preserve">јавном надметању </w:t>
      </w:r>
      <w:r w:rsidR="00CB1025">
        <w:rPr>
          <w:b/>
          <w:sz w:val="20"/>
          <w:szCs w:val="20"/>
          <w:lang w:val="sr-Cyrl-CS"/>
        </w:rPr>
        <w:t>износи</w:t>
      </w:r>
      <w:r>
        <w:rPr>
          <w:b/>
          <w:sz w:val="20"/>
          <w:szCs w:val="20"/>
          <w:lang w:val="sr-Cyrl-CS"/>
        </w:rPr>
        <w:t xml:space="preserve"> : 12.172.400,00 динара.</w:t>
      </w:r>
    </w:p>
    <w:p w:rsidR="001668BF" w:rsidRPr="00C10FC7" w:rsidRDefault="009B4E00" w:rsidP="00316040">
      <w:pPr>
        <w:rPr>
          <w:sz w:val="18"/>
          <w:szCs w:val="18"/>
          <w:lang w:val="sr-Cyrl-CS"/>
        </w:rPr>
      </w:pPr>
      <w:r w:rsidRPr="00C10FC7">
        <w:rPr>
          <w:sz w:val="18"/>
          <w:szCs w:val="18"/>
          <w:lang w:val="sr-Cyrl-CS"/>
        </w:rPr>
        <w:t>Право на учешће у поступку продаје имају сва правна и физичка лица која :</w:t>
      </w:r>
      <w:r w:rsidR="001668BF" w:rsidRPr="00C10FC7">
        <w:rPr>
          <w:sz w:val="18"/>
          <w:szCs w:val="18"/>
          <w:lang w:val="sr-Cyrl-CS"/>
        </w:rPr>
        <w:t xml:space="preserve"> </w:t>
      </w:r>
    </w:p>
    <w:p w:rsidR="00737DAA" w:rsidRPr="00C10FC7" w:rsidRDefault="001668BF" w:rsidP="00316040">
      <w:pPr>
        <w:rPr>
          <w:sz w:val="18"/>
          <w:szCs w:val="18"/>
          <w:lang w:val="sr-Cyrl-CS"/>
        </w:rPr>
      </w:pPr>
      <w:r w:rsidRPr="00C10FC7">
        <w:rPr>
          <w:sz w:val="18"/>
          <w:szCs w:val="18"/>
          <w:lang w:val="sr-Cyrl-CS"/>
        </w:rPr>
        <w:t>1.  Након добијања предрачуна, изврше уплату ради откупа продајне документације у износу од 50.000,00 динара. Предрачун се може преузети сваког радног дана у периоду од 9 до 13 часова, на адреси : ул. Бранка Радичевића бр. 12, Крагујевац, по предходном договору са</w:t>
      </w:r>
      <w:r w:rsidR="00146DBC">
        <w:rPr>
          <w:sz w:val="18"/>
          <w:szCs w:val="18"/>
          <w:lang w:val="sr-Cyrl-CS"/>
        </w:rPr>
        <w:t xml:space="preserve"> стечајним управником.</w:t>
      </w:r>
    </w:p>
    <w:p w:rsidR="001668BF" w:rsidRPr="00C10FC7" w:rsidRDefault="001668BF" w:rsidP="00316040">
      <w:pPr>
        <w:rPr>
          <w:sz w:val="18"/>
          <w:szCs w:val="18"/>
          <w:lang w:val="sr-Cyrl-CS"/>
        </w:rPr>
      </w:pPr>
      <w:r w:rsidRPr="00C10FC7">
        <w:rPr>
          <w:sz w:val="18"/>
          <w:szCs w:val="18"/>
          <w:lang w:val="sr-Cyrl-CS"/>
        </w:rPr>
        <w:t xml:space="preserve">2. Уплате </w:t>
      </w:r>
      <w:r w:rsidRPr="00C10FC7">
        <w:rPr>
          <w:b/>
          <w:sz w:val="18"/>
          <w:szCs w:val="18"/>
          <w:lang w:val="sr-Cyrl-CS"/>
        </w:rPr>
        <w:t xml:space="preserve">депозит </w:t>
      </w:r>
      <w:r w:rsidR="00E03D27" w:rsidRPr="00C10FC7">
        <w:rPr>
          <w:sz w:val="18"/>
          <w:szCs w:val="18"/>
          <w:lang w:val="sr-Cyrl-CS"/>
        </w:rPr>
        <w:t xml:space="preserve">на </w:t>
      </w:r>
      <w:r w:rsidRPr="00C10FC7">
        <w:rPr>
          <w:sz w:val="18"/>
          <w:szCs w:val="18"/>
          <w:lang w:val="sr-Cyrl-CS"/>
        </w:rPr>
        <w:t xml:space="preserve">рачун стечајног дужника број : </w:t>
      </w:r>
      <w:r w:rsidRPr="00C10FC7">
        <w:rPr>
          <w:b/>
          <w:sz w:val="18"/>
          <w:szCs w:val="18"/>
          <w:lang w:val="sr-Cyrl-CS"/>
        </w:rPr>
        <w:t xml:space="preserve">155 – 26754 – 64 </w:t>
      </w:r>
      <w:r w:rsidRPr="00C10FC7">
        <w:rPr>
          <w:sz w:val="18"/>
          <w:szCs w:val="18"/>
          <w:lang w:val="sr-Cyrl-CS"/>
        </w:rPr>
        <w:t xml:space="preserve">код </w:t>
      </w:r>
      <w:r w:rsidRPr="00C10FC7">
        <w:rPr>
          <w:b/>
          <w:sz w:val="18"/>
          <w:szCs w:val="18"/>
          <w:lang w:val="sr-Cyrl-CS"/>
        </w:rPr>
        <w:t>ЧАЧАНСКЕ БАНКЕ А.Д. ЧАЧАК</w:t>
      </w:r>
      <w:r w:rsidR="00146DBC">
        <w:rPr>
          <w:b/>
          <w:sz w:val="18"/>
          <w:szCs w:val="18"/>
          <w:lang w:val="sr-Cyrl-CS"/>
        </w:rPr>
        <w:t>,</w:t>
      </w:r>
      <w:r w:rsidRPr="00C10FC7">
        <w:rPr>
          <w:sz w:val="18"/>
          <w:szCs w:val="18"/>
          <w:lang w:val="sr-Cyrl-CS"/>
        </w:rPr>
        <w:t xml:space="preserve"> или положе неопозиву првокласну банкарску гаранцију наплативу на први позив</w:t>
      </w:r>
      <w:r w:rsidR="00146DBC">
        <w:rPr>
          <w:sz w:val="18"/>
          <w:szCs w:val="18"/>
          <w:lang w:val="sr-Cyrl-CS"/>
        </w:rPr>
        <w:t>, најкасније 5 дана пре одржавања продаје</w:t>
      </w:r>
      <w:r w:rsidRPr="00C10FC7">
        <w:rPr>
          <w:sz w:val="18"/>
          <w:szCs w:val="18"/>
          <w:lang w:val="sr-Cyrl-CS"/>
        </w:rPr>
        <w:t xml:space="preserve">. Рок за уплату депозита је </w:t>
      </w:r>
      <w:r w:rsidR="00146DBC">
        <w:rPr>
          <w:sz w:val="18"/>
          <w:szCs w:val="18"/>
          <w:lang w:val="sr-Cyrl-CS"/>
        </w:rPr>
        <w:t xml:space="preserve">најкасније до </w:t>
      </w:r>
      <w:r w:rsidR="00DA6188">
        <w:rPr>
          <w:sz w:val="18"/>
          <w:szCs w:val="18"/>
          <w:lang w:val="sr-Cyrl-CS"/>
        </w:rPr>
        <w:t>11.09</w:t>
      </w:r>
      <w:r w:rsidRPr="00C10FC7">
        <w:rPr>
          <w:sz w:val="18"/>
          <w:szCs w:val="18"/>
          <w:lang w:val="sr-Cyrl-CS"/>
        </w:rPr>
        <w:t>.2015. године. У случају да се као депозит положи првокласна банкарска гаранција, оригинал исте се ради провере мора доставити стечајном управнику заједно са обрасцем пријаве, најк</w:t>
      </w:r>
      <w:r w:rsidR="0098007F" w:rsidRPr="00C10FC7">
        <w:rPr>
          <w:sz w:val="18"/>
          <w:szCs w:val="18"/>
          <w:lang w:val="sr-Cyrl-CS"/>
        </w:rPr>
        <w:t xml:space="preserve">асније до </w:t>
      </w:r>
      <w:r w:rsidR="00AA19DC">
        <w:rPr>
          <w:sz w:val="18"/>
          <w:szCs w:val="18"/>
          <w:lang w:val="sr-Cyrl-CS"/>
        </w:rPr>
        <w:t>09.09</w:t>
      </w:r>
      <w:r w:rsidRPr="00C10FC7">
        <w:rPr>
          <w:sz w:val="18"/>
          <w:szCs w:val="18"/>
          <w:lang w:val="sr-Cyrl-CS"/>
        </w:rPr>
        <w:t>.2015. године до 14 часова.</w:t>
      </w:r>
    </w:p>
    <w:p w:rsidR="001668BF" w:rsidRPr="00C10FC7" w:rsidRDefault="001668BF" w:rsidP="00316040">
      <w:pPr>
        <w:rPr>
          <w:sz w:val="18"/>
          <w:szCs w:val="18"/>
          <w:lang w:val="sr-Cyrl-CS"/>
        </w:rPr>
      </w:pPr>
      <w:r w:rsidRPr="00C10FC7">
        <w:rPr>
          <w:sz w:val="18"/>
          <w:szCs w:val="18"/>
          <w:lang w:val="sr-Cyrl-CS"/>
        </w:rPr>
        <w:t>3. Потпишу изјаву о губитку права на враћање депозита. Изјава чини саставни део продајне документације.</w:t>
      </w:r>
    </w:p>
    <w:p w:rsidR="008809A7" w:rsidRPr="00C10FC7" w:rsidRDefault="0048384A" w:rsidP="00316040">
      <w:pPr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 xml:space="preserve">Након уплате депозита, </w:t>
      </w:r>
      <w:r w:rsidR="008809A7" w:rsidRPr="00C10FC7">
        <w:rPr>
          <w:sz w:val="18"/>
          <w:szCs w:val="18"/>
          <w:lang w:val="sr-Cyrl-CS"/>
        </w:rPr>
        <w:t xml:space="preserve">најкасније </w:t>
      </w:r>
      <w:r>
        <w:rPr>
          <w:sz w:val="18"/>
          <w:szCs w:val="18"/>
          <w:lang w:val="sr-Cyrl-CS"/>
        </w:rPr>
        <w:t>3 дана пре јавног надметања</w:t>
      </w:r>
      <w:r w:rsidR="008809A7" w:rsidRPr="00C10FC7">
        <w:rPr>
          <w:sz w:val="18"/>
          <w:szCs w:val="18"/>
          <w:lang w:val="sr-Cyrl-CS"/>
        </w:rPr>
        <w:t xml:space="preserve">, потенцијални купци, ради правовремене евиденције, морају предати стечајном управнику стечајног дужника </w:t>
      </w:r>
      <w:r w:rsidR="00806018">
        <w:rPr>
          <w:sz w:val="18"/>
          <w:szCs w:val="18"/>
          <w:lang w:val="sr-Cyrl-CS"/>
        </w:rPr>
        <w:t>:</w:t>
      </w:r>
      <w:r w:rsidR="008B5EAE">
        <w:rPr>
          <w:sz w:val="18"/>
          <w:szCs w:val="18"/>
          <w:lang w:val="sr-Cyrl-CS"/>
        </w:rPr>
        <w:t xml:space="preserve"> попуњени образац пријаве за уч</w:t>
      </w:r>
      <w:r w:rsidR="008809A7" w:rsidRPr="00C10FC7">
        <w:rPr>
          <w:sz w:val="18"/>
          <w:szCs w:val="18"/>
          <w:lang w:val="sr-Cyrl-CS"/>
        </w:rPr>
        <w:t>ешће на јавном надметању лично или од стране овлашћеног лица и доказ да је у питању овлашћено лице, доказ о уплати депозита или копију банкарске гаранције, потписану изјаву о губитку права на повраћај депозита, извод из регистра привредних субјеката и ОП образац (ако се потенцијални купац пријављује као правно л</w:t>
      </w:r>
      <w:r w:rsidR="00BC6041" w:rsidRPr="00C10FC7">
        <w:rPr>
          <w:sz w:val="18"/>
          <w:szCs w:val="18"/>
          <w:lang w:val="sr-Cyrl-CS"/>
        </w:rPr>
        <w:t>ице), овлашћење за заступање уко</w:t>
      </w:r>
      <w:r w:rsidR="008809A7" w:rsidRPr="00C10FC7">
        <w:rPr>
          <w:sz w:val="18"/>
          <w:szCs w:val="18"/>
          <w:lang w:val="sr-Cyrl-CS"/>
        </w:rPr>
        <w:t>лико</w:t>
      </w:r>
      <w:r w:rsidR="00BC6041" w:rsidRPr="00C10FC7">
        <w:rPr>
          <w:sz w:val="18"/>
          <w:szCs w:val="18"/>
          <w:lang w:val="sr-Cyrl-CS"/>
        </w:rPr>
        <w:t xml:space="preserve"> јавном надметању не присуствује потенцијални купац лично (за физичка лица) или законски заступник (за правна лица).</w:t>
      </w:r>
    </w:p>
    <w:p w:rsidR="003968F7" w:rsidRPr="00C10FC7" w:rsidRDefault="003968F7" w:rsidP="00316040">
      <w:pPr>
        <w:rPr>
          <w:b/>
          <w:sz w:val="18"/>
          <w:szCs w:val="18"/>
          <w:lang w:val="sr-Cyrl-CS"/>
        </w:rPr>
      </w:pPr>
      <w:r w:rsidRPr="00C10FC7">
        <w:rPr>
          <w:b/>
          <w:sz w:val="18"/>
          <w:szCs w:val="18"/>
          <w:lang w:val="sr-Cyrl-CS"/>
        </w:rPr>
        <w:t xml:space="preserve">Јавно надметање одржаће се у </w:t>
      </w:r>
      <w:r w:rsidR="009E0B22">
        <w:rPr>
          <w:b/>
          <w:sz w:val="18"/>
          <w:szCs w:val="18"/>
          <w:lang w:val="sr-Cyrl-CS"/>
        </w:rPr>
        <w:t>четвртак</w:t>
      </w:r>
      <w:r w:rsidR="00BC7DE5">
        <w:rPr>
          <w:b/>
          <w:sz w:val="18"/>
          <w:szCs w:val="18"/>
          <w:lang w:val="sr-Cyrl-CS"/>
        </w:rPr>
        <w:t>,</w:t>
      </w:r>
      <w:r w:rsidR="00276FE0">
        <w:rPr>
          <w:b/>
          <w:sz w:val="18"/>
          <w:szCs w:val="18"/>
          <w:lang w:val="sr-Cyrl-CS"/>
        </w:rPr>
        <w:t xml:space="preserve"> </w:t>
      </w:r>
      <w:r w:rsidR="00DA6188">
        <w:rPr>
          <w:b/>
          <w:sz w:val="18"/>
          <w:szCs w:val="18"/>
          <w:lang w:val="sr-Cyrl-CS"/>
        </w:rPr>
        <w:t>17.09</w:t>
      </w:r>
      <w:r w:rsidRPr="00C10FC7">
        <w:rPr>
          <w:b/>
          <w:sz w:val="18"/>
          <w:szCs w:val="18"/>
          <w:lang w:val="sr-Cyrl-CS"/>
        </w:rPr>
        <w:t>.2015. године, са почетком у 13 часова у Крагује</w:t>
      </w:r>
      <w:r w:rsidR="00E03D27" w:rsidRPr="00C10FC7">
        <w:rPr>
          <w:b/>
          <w:sz w:val="18"/>
          <w:szCs w:val="18"/>
          <w:lang w:val="sr-Cyrl-CS"/>
        </w:rPr>
        <w:t>вцу, на адреси : ул. Бранка Радич</w:t>
      </w:r>
      <w:r w:rsidRPr="00C10FC7">
        <w:rPr>
          <w:b/>
          <w:sz w:val="18"/>
          <w:szCs w:val="18"/>
          <w:lang w:val="sr-Cyrl-CS"/>
        </w:rPr>
        <w:t>евића број 12.</w:t>
      </w:r>
    </w:p>
    <w:p w:rsidR="003968F7" w:rsidRPr="00C10FC7" w:rsidRDefault="003968F7" w:rsidP="00316040">
      <w:pPr>
        <w:rPr>
          <w:sz w:val="18"/>
          <w:szCs w:val="18"/>
          <w:lang w:val="sr-Cyrl-CS"/>
        </w:rPr>
      </w:pPr>
      <w:r w:rsidRPr="00C10FC7">
        <w:rPr>
          <w:b/>
          <w:sz w:val="18"/>
          <w:szCs w:val="18"/>
          <w:lang w:val="sr-Cyrl-CS"/>
        </w:rPr>
        <w:t xml:space="preserve">Регистрација учесника </w:t>
      </w:r>
      <w:r w:rsidRPr="00C10FC7">
        <w:rPr>
          <w:sz w:val="18"/>
          <w:szCs w:val="18"/>
          <w:lang w:val="sr-Cyrl-CS"/>
        </w:rPr>
        <w:t>почиње  два сата пре почетка јавног надметања, а завршава се 10 минута пре почетка јавног надматања, односно у периоду од 11 до 12,50 часова, на истој адреси.</w:t>
      </w:r>
    </w:p>
    <w:p w:rsidR="003968F7" w:rsidRPr="00C10FC7" w:rsidRDefault="003968F7" w:rsidP="00316040">
      <w:pPr>
        <w:rPr>
          <w:sz w:val="18"/>
          <w:szCs w:val="18"/>
          <w:lang w:val="sr-Cyrl-CS"/>
        </w:rPr>
      </w:pPr>
      <w:r w:rsidRPr="00C10FC7">
        <w:rPr>
          <w:sz w:val="18"/>
          <w:szCs w:val="18"/>
          <w:lang w:val="sr-Cyrl-CS"/>
        </w:rPr>
        <w:t>Стечајни управник, или лица које он овласти, спроводе јавно надметање тако што :</w:t>
      </w:r>
    </w:p>
    <w:p w:rsidR="003968F7" w:rsidRPr="00C10FC7" w:rsidRDefault="003968F7" w:rsidP="003968F7">
      <w:pPr>
        <w:numPr>
          <w:ilvl w:val="0"/>
          <w:numId w:val="6"/>
        </w:numPr>
        <w:rPr>
          <w:sz w:val="18"/>
          <w:szCs w:val="18"/>
          <w:lang w:val="sr-Cyrl-CS"/>
        </w:rPr>
      </w:pPr>
      <w:r w:rsidRPr="00C10FC7">
        <w:rPr>
          <w:sz w:val="18"/>
          <w:szCs w:val="18"/>
          <w:lang w:val="sr-Cyrl-CS"/>
        </w:rPr>
        <w:t>Региструје лица која имају право учешћа на јавном надметању  (имају овлашћења или су лично присутна);</w:t>
      </w:r>
    </w:p>
    <w:p w:rsidR="003968F7" w:rsidRPr="00C10FC7" w:rsidRDefault="003968F7" w:rsidP="003968F7">
      <w:pPr>
        <w:numPr>
          <w:ilvl w:val="0"/>
          <w:numId w:val="6"/>
        </w:numPr>
        <w:rPr>
          <w:sz w:val="18"/>
          <w:szCs w:val="18"/>
          <w:lang w:val="sr-Cyrl-CS"/>
        </w:rPr>
      </w:pPr>
      <w:r w:rsidRPr="00C10FC7">
        <w:rPr>
          <w:sz w:val="18"/>
          <w:szCs w:val="18"/>
          <w:lang w:val="sr-Cyrl-CS"/>
        </w:rPr>
        <w:t>Отвара јавно надметање читајући правила надметања;</w:t>
      </w:r>
    </w:p>
    <w:p w:rsidR="003968F7" w:rsidRPr="00C10FC7" w:rsidRDefault="003968F7" w:rsidP="003968F7">
      <w:pPr>
        <w:numPr>
          <w:ilvl w:val="0"/>
          <w:numId w:val="6"/>
        </w:numPr>
        <w:rPr>
          <w:sz w:val="18"/>
          <w:szCs w:val="18"/>
          <w:lang w:val="sr-Cyrl-CS"/>
        </w:rPr>
      </w:pPr>
      <w:r w:rsidRPr="00C10FC7">
        <w:rPr>
          <w:sz w:val="18"/>
          <w:szCs w:val="18"/>
          <w:lang w:val="sr-Cyrl-CS"/>
        </w:rPr>
        <w:t>Позива учеснике да прихвате понуђену цену према унапред утврђеним корацима увећања;</w:t>
      </w:r>
    </w:p>
    <w:p w:rsidR="003968F7" w:rsidRPr="00C10FC7" w:rsidRDefault="003968F7" w:rsidP="003968F7">
      <w:pPr>
        <w:numPr>
          <w:ilvl w:val="0"/>
          <w:numId w:val="6"/>
        </w:numPr>
        <w:rPr>
          <w:sz w:val="18"/>
          <w:szCs w:val="18"/>
          <w:lang w:val="sr-Cyrl-CS"/>
        </w:rPr>
      </w:pPr>
      <w:r w:rsidRPr="00C10FC7">
        <w:rPr>
          <w:sz w:val="18"/>
          <w:szCs w:val="18"/>
          <w:lang w:val="sr-Cyrl-CS"/>
        </w:rPr>
        <w:t>Одржава ред на јавном надметању;</w:t>
      </w:r>
    </w:p>
    <w:p w:rsidR="003968F7" w:rsidRPr="00C10FC7" w:rsidRDefault="003968F7" w:rsidP="003968F7">
      <w:pPr>
        <w:numPr>
          <w:ilvl w:val="0"/>
          <w:numId w:val="6"/>
        </w:numPr>
        <w:rPr>
          <w:sz w:val="18"/>
          <w:szCs w:val="18"/>
          <w:lang w:val="sr-Cyrl-CS"/>
        </w:rPr>
      </w:pPr>
      <w:r w:rsidRPr="00C10FC7">
        <w:rPr>
          <w:sz w:val="18"/>
          <w:szCs w:val="18"/>
          <w:lang w:val="sr-Cyrl-CS"/>
        </w:rPr>
        <w:t>Проглашава за купца учесника који је прихватио највишу понуђену цену и</w:t>
      </w:r>
    </w:p>
    <w:p w:rsidR="003968F7" w:rsidRPr="00C10FC7" w:rsidRDefault="003968F7" w:rsidP="003968F7">
      <w:pPr>
        <w:numPr>
          <w:ilvl w:val="0"/>
          <w:numId w:val="6"/>
        </w:numPr>
        <w:rPr>
          <w:sz w:val="18"/>
          <w:szCs w:val="18"/>
          <w:lang w:val="sr-Cyrl-CS"/>
        </w:rPr>
      </w:pPr>
      <w:r w:rsidRPr="00C10FC7">
        <w:rPr>
          <w:sz w:val="18"/>
          <w:szCs w:val="18"/>
          <w:lang w:val="sr-Cyrl-CS"/>
        </w:rPr>
        <w:t>Потписује записник.</w:t>
      </w:r>
    </w:p>
    <w:p w:rsidR="008C45DC" w:rsidRPr="00C10FC7" w:rsidRDefault="00C23312" w:rsidP="003968F7">
      <w:pPr>
        <w:jc w:val="both"/>
        <w:rPr>
          <w:sz w:val="18"/>
          <w:szCs w:val="18"/>
          <w:lang w:val="sr-Cyrl-CS"/>
        </w:rPr>
      </w:pPr>
      <w:r w:rsidRPr="00C10FC7">
        <w:rPr>
          <w:sz w:val="18"/>
          <w:szCs w:val="18"/>
          <w:lang w:val="sr-Cyrl-CS"/>
        </w:rPr>
        <w:t>У случају да на јавном надметању победи купац који је депозит обезбедио банкарском гаранцијом, исти мора измирити износ депозита на рачун стечајног дужника у року од 48 сати од дана</w:t>
      </w:r>
      <w:r w:rsidR="008C45DC" w:rsidRPr="00C10FC7">
        <w:rPr>
          <w:sz w:val="18"/>
          <w:szCs w:val="18"/>
          <w:lang w:val="sr-Cyrl-CS"/>
        </w:rPr>
        <w:t xml:space="preserve"> јавног надметања, а пре потписивања купопродајног уговора, након чега ће му бити враћена гаранција. </w:t>
      </w:r>
    </w:p>
    <w:p w:rsidR="008C45DC" w:rsidRPr="00C10FC7" w:rsidRDefault="008C45DC" w:rsidP="003968F7">
      <w:pPr>
        <w:jc w:val="both"/>
        <w:rPr>
          <w:sz w:val="18"/>
          <w:szCs w:val="18"/>
          <w:lang w:val="sr-Cyrl-CS"/>
        </w:rPr>
      </w:pPr>
      <w:r w:rsidRPr="00C10FC7">
        <w:rPr>
          <w:sz w:val="18"/>
          <w:szCs w:val="18"/>
          <w:lang w:val="sr-Cyrl-CS"/>
        </w:rPr>
        <w:t>Купопродајни уговор се потписује у року од 5 дана од дана одржавања јавног надметања, под условом да је депозит који је обезбеђен гаранцијом уплаћен на рачун стечајног дужника.</w:t>
      </w:r>
    </w:p>
    <w:p w:rsidR="001A4AD3" w:rsidRPr="00C10FC7" w:rsidRDefault="008C45DC" w:rsidP="008C45DC">
      <w:pPr>
        <w:jc w:val="both"/>
        <w:rPr>
          <w:sz w:val="18"/>
          <w:szCs w:val="18"/>
          <w:lang w:val="sr-Cyrl-CS"/>
        </w:rPr>
      </w:pPr>
      <w:r w:rsidRPr="00C10FC7">
        <w:rPr>
          <w:sz w:val="18"/>
          <w:szCs w:val="18"/>
          <w:lang w:val="sr-Cyrl-CS"/>
        </w:rPr>
        <w:t>Проглашени купац је дужан да уплати преостали износ купопродајне цене  у року од 8 дана од потписивања купопродајног уговора. Тек након уплате купопродајне цене од стране од стране купца и након добијања потврде од стране стечајног дужника о извршеној уплати у целости, исти стиче право на укњижбу непокретности, док код преостале имовине купац стиче право власништва моментом уплате купопродајне цене.</w:t>
      </w:r>
    </w:p>
    <w:p w:rsidR="008C45DC" w:rsidRPr="00C10FC7" w:rsidRDefault="008C45DC" w:rsidP="008C45DC">
      <w:pPr>
        <w:jc w:val="both"/>
        <w:rPr>
          <w:sz w:val="18"/>
          <w:szCs w:val="18"/>
          <w:lang w:val="sr-Cyrl-CS"/>
        </w:rPr>
      </w:pPr>
      <w:r w:rsidRPr="00C10FC7">
        <w:rPr>
          <w:sz w:val="18"/>
          <w:szCs w:val="18"/>
          <w:lang w:val="sr-Cyrl-CS"/>
        </w:rPr>
        <w:t>Свако лице које је стекло право на учешће у складу са условима прописаних овим огласом, губи право на депозит у складу са Изјавом</w:t>
      </w:r>
      <w:r w:rsidR="009B099D" w:rsidRPr="00C10FC7">
        <w:rPr>
          <w:sz w:val="18"/>
          <w:szCs w:val="18"/>
          <w:lang w:val="sr-Cyrl-CS"/>
        </w:rPr>
        <w:t xml:space="preserve"> о губитку права на враћање депозита.</w:t>
      </w:r>
    </w:p>
    <w:p w:rsidR="009B099D" w:rsidRPr="00C10FC7" w:rsidRDefault="009B099D" w:rsidP="008C45DC">
      <w:pPr>
        <w:jc w:val="both"/>
        <w:rPr>
          <w:sz w:val="18"/>
          <w:szCs w:val="18"/>
          <w:lang w:val="sr-Cyrl-CS"/>
        </w:rPr>
      </w:pPr>
      <w:r w:rsidRPr="00C10FC7">
        <w:rPr>
          <w:sz w:val="18"/>
          <w:szCs w:val="18"/>
          <w:lang w:val="sr-Cyrl-CS"/>
        </w:rPr>
        <w:t xml:space="preserve"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</w:t>
      </w:r>
      <w:r w:rsidRPr="00C10FC7">
        <w:rPr>
          <w:sz w:val="18"/>
          <w:szCs w:val="18"/>
          <w:lang w:val="sr-Cyrl-CS"/>
        </w:rPr>
        <w:lastRenderedPageBreak/>
        <w:t>депозита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гаранција. У конкретном случају, купопродајни уговор потписује се у року од 3 радна дана од пријема обавештења којим се други најбољи понуђач проглашава за купца.</w:t>
      </w:r>
    </w:p>
    <w:p w:rsidR="007A125B" w:rsidRPr="00C10FC7" w:rsidRDefault="007A125B" w:rsidP="008C45DC">
      <w:pPr>
        <w:jc w:val="both"/>
        <w:rPr>
          <w:sz w:val="18"/>
          <w:szCs w:val="18"/>
          <w:lang w:val="sr-Cyrl-CS"/>
        </w:rPr>
      </w:pPr>
      <w:r w:rsidRPr="00C10FC7">
        <w:rPr>
          <w:sz w:val="18"/>
          <w:szCs w:val="18"/>
          <w:lang w:val="sr-Cyrl-CS"/>
        </w:rPr>
        <w:t>Имовина се купује у виђеном стању и иста се може разгледати након откупа продајне</w:t>
      </w:r>
      <w:r w:rsidR="008B6E17" w:rsidRPr="00C10FC7">
        <w:rPr>
          <w:sz w:val="18"/>
          <w:szCs w:val="18"/>
          <w:lang w:val="sr-Cyrl-CS"/>
        </w:rPr>
        <w:t xml:space="preserve"> документације, сваког радног дана од 10 до 14 часова, најкасније 7 дана пре заказане продаје, уз предходну најаву стечајном управнику на телефон (034) 209 - 053 или 063/29 44 47 и 063/128 22 20.</w:t>
      </w:r>
    </w:p>
    <w:p w:rsidR="008B6E17" w:rsidRPr="00C10FC7" w:rsidRDefault="008B6E17" w:rsidP="008C45DC">
      <w:pPr>
        <w:jc w:val="both"/>
        <w:rPr>
          <w:sz w:val="18"/>
          <w:szCs w:val="18"/>
          <w:lang w:val="sr-Cyrl-CS"/>
        </w:rPr>
      </w:pPr>
      <w:r w:rsidRPr="00C10FC7">
        <w:rPr>
          <w:sz w:val="18"/>
          <w:szCs w:val="18"/>
          <w:lang w:val="sr-Cyrl-CS"/>
        </w:rPr>
        <w:t>Учесници који на јавном надметању нису стекли статус купца или другог најбољег понуђача, депозит (гаранција) се враћа у року од 8 дана од дана јавног надметања.</w:t>
      </w:r>
    </w:p>
    <w:p w:rsidR="00FA32B2" w:rsidRPr="00C10FC7" w:rsidRDefault="00FA32B2" w:rsidP="00316040">
      <w:pPr>
        <w:rPr>
          <w:sz w:val="18"/>
          <w:szCs w:val="18"/>
        </w:rPr>
      </w:pPr>
      <w:r w:rsidRPr="00C10FC7">
        <w:rPr>
          <w:sz w:val="18"/>
          <w:szCs w:val="18"/>
        </w:rPr>
        <w:t>Другом најбољем понуђачу на јавном надметању, депозит (гаранција) се враћа у року од 5 радних дана, по истеку рока за уплату купопродајне цене најбољег понуђача.</w:t>
      </w:r>
    </w:p>
    <w:p w:rsidR="008B3AA8" w:rsidRPr="00C10FC7" w:rsidRDefault="00492058" w:rsidP="00492058">
      <w:pPr>
        <w:jc w:val="both"/>
        <w:rPr>
          <w:sz w:val="18"/>
          <w:szCs w:val="18"/>
        </w:rPr>
      </w:pPr>
      <w:r w:rsidRPr="00C10FC7">
        <w:rPr>
          <w:sz w:val="18"/>
          <w:szCs w:val="18"/>
        </w:rPr>
        <w:t xml:space="preserve">У случају да за купца у поступку продаје буде проглашено правно или физичко лице које подлеже обавези подношења пријаве концентрације, сходно одредбама Закона о заштити конкуренције </w:t>
      </w:r>
      <w:r w:rsidR="008B3AA8" w:rsidRPr="00C10FC7">
        <w:rPr>
          <w:sz w:val="18"/>
          <w:szCs w:val="18"/>
        </w:rPr>
        <w:t>(</w:t>
      </w:r>
      <w:r w:rsidR="008B3AA8" w:rsidRPr="00C10FC7">
        <w:rPr>
          <w:i/>
          <w:sz w:val="18"/>
          <w:szCs w:val="18"/>
        </w:rPr>
        <w:t>„Службени гласник РС“ број 51/2009</w:t>
      </w:r>
      <w:r w:rsidR="00C5590A" w:rsidRPr="00C10FC7">
        <w:rPr>
          <w:i/>
          <w:sz w:val="18"/>
          <w:szCs w:val="18"/>
        </w:rPr>
        <w:t xml:space="preserve"> и 95/2013)</w:t>
      </w:r>
      <w:r w:rsidR="008B3AA8" w:rsidRPr="00C10FC7">
        <w:rPr>
          <w:i/>
          <w:sz w:val="18"/>
          <w:szCs w:val="18"/>
        </w:rPr>
        <w:t>,</w:t>
      </w:r>
      <w:r w:rsidR="008B3AA8" w:rsidRPr="00C10FC7">
        <w:rPr>
          <w:sz w:val="18"/>
          <w:szCs w:val="18"/>
        </w:rPr>
        <w:t xml:space="preserve"> услови и рокови закључења уговора биће прилагођени роковима одлучивања Комисије за заштиту конкуренције. Другом најбољем понуђачу депозит или банкарска гаранција биће </w:t>
      </w:r>
      <w:r w:rsidRPr="00C10FC7">
        <w:rPr>
          <w:sz w:val="18"/>
          <w:szCs w:val="18"/>
        </w:rPr>
        <w:t>(</w:t>
      </w:r>
      <w:r w:rsidR="008B3AA8" w:rsidRPr="00C10FC7">
        <w:rPr>
          <w:sz w:val="18"/>
          <w:szCs w:val="18"/>
        </w:rPr>
        <w:t>уколико је износ депозита обезбеђен гаранцијом) биће задржани до доношења одлуке Комисије за заштиту конкуренције по поднетој пријави купца.</w:t>
      </w:r>
    </w:p>
    <w:p w:rsidR="00BB3E9A" w:rsidRPr="00C10FC7" w:rsidRDefault="00A03762" w:rsidP="00BB3E9A">
      <w:pPr>
        <w:rPr>
          <w:sz w:val="18"/>
          <w:szCs w:val="18"/>
        </w:rPr>
      </w:pPr>
      <w:r w:rsidRPr="00C10FC7">
        <w:rPr>
          <w:sz w:val="18"/>
          <w:szCs w:val="18"/>
        </w:rPr>
        <w:t xml:space="preserve">Сви порези и трошкови реализације </w:t>
      </w:r>
      <w:r w:rsidR="00BB3E9A" w:rsidRPr="00C10FC7">
        <w:rPr>
          <w:sz w:val="18"/>
          <w:szCs w:val="18"/>
        </w:rPr>
        <w:t xml:space="preserve">купопродајног уговора </w:t>
      </w:r>
      <w:r w:rsidRPr="00C10FC7">
        <w:rPr>
          <w:sz w:val="18"/>
          <w:szCs w:val="18"/>
        </w:rPr>
        <w:t>се додају на постигнуту купопродајну цену и падају на терет купца.</w:t>
      </w:r>
    </w:p>
    <w:p w:rsidR="001E3105" w:rsidRPr="00E3709D" w:rsidRDefault="001E3105" w:rsidP="00316040">
      <w:pPr>
        <w:rPr>
          <w:sz w:val="18"/>
          <w:szCs w:val="18"/>
        </w:rPr>
      </w:pPr>
      <w:r w:rsidRPr="00C10FC7">
        <w:rPr>
          <w:sz w:val="18"/>
          <w:szCs w:val="18"/>
        </w:rPr>
        <w:t>Овлашћено лице : стечајни управник Доброслав С. Сто</w:t>
      </w:r>
      <w:r w:rsidR="003A7E9A" w:rsidRPr="00C10FC7">
        <w:rPr>
          <w:sz w:val="18"/>
          <w:szCs w:val="18"/>
        </w:rPr>
        <w:t>јановић, контакт тел. (034) 209–</w:t>
      </w:r>
      <w:r w:rsidRPr="00C10FC7">
        <w:rPr>
          <w:sz w:val="18"/>
          <w:szCs w:val="18"/>
        </w:rPr>
        <w:t>053 или 063/29 44 47</w:t>
      </w:r>
      <w:r w:rsidRPr="00E3709D">
        <w:rPr>
          <w:sz w:val="18"/>
          <w:szCs w:val="18"/>
        </w:rPr>
        <w:t>.</w:t>
      </w:r>
    </w:p>
    <w:p w:rsidR="004C7A10" w:rsidRPr="004C7A10" w:rsidRDefault="004C7A10" w:rsidP="00316040">
      <w:pPr>
        <w:rPr>
          <w:rFonts w:ascii="Verdana" w:hAnsi="Verdana"/>
          <w:b/>
          <w:sz w:val="20"/>
          <w:szCs w:val="20"/>
        </w:rPr>
      </w:pPr>
    </w:p>
    <w:p w:rsidR="003A4239" w:rsidRPr="003A4239" w:rsidRDefault="003A4239"/>
    <w:sectPr w:rsidR="003A4239" w:rsidRPr="003A4239" w:rsidSect="001C18DE">
      <w:footerReference w:type="default" r:id="rId7"/>
      <w:pgSz w:w="11907" w:h="16840" w:code="9"/>
      <w:pgMar w:top="1134" w:right="1021" w:bottom="1021" w:left="124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5D9" w:rsidRDefault="00F035D9" w:rsidP="0028143F">
      <w:pPr>
        <w:spacing w:after="0" w:line="240" w:lineRule="auto"/>
      </w:pPr>
      <w:r>
        <w:separator/>
      </w:r>
    </w:p>
  </w:endnote>
  <w:endnote w:type="continuationSeparator" w:id="1">
    <w:p w:rsidR="00F035D9" w:rsidRDefault="00F035D9" w:rsidP="00281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E0" w:rsidRPr="0028143F" w:rsidRDefault="006D4FE0" w:rsidP="0028143F">
    <w:pPr>
      <w:pStyle w:val="Footer"/>
      <w:jc w:val="center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5D9" w:rsidRDefault="00F035D9" w:rsidP="0028143F">
      <w:pPr>
        <w:spacing w:after="0" w:line="240" w:lineRule="auto"/>
      </w:pPr>
      <w:r>
        <w:separator/>
      </w:r>
    </w:p>
  </w:footnote>
  <w:footnote w:type="continuationSeparator" w:id="1">
    <w:p w:rsidR="00F035D9" w:rsidRDefault="00F035D9" w:rsidP="00281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B1D"/>
    <w:multiLevelType w:val="hybridMultilevel"/>
    <w:tmpl w:val="684A5C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C5E6E"/>
    <w:multiLevelType w:val="hybridMultilevel"/>
    <w:tmpl w:val="37F66602"/>
    <w:lvl w:ilvl="0" w:tplc="387C3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4460A"/>
    <w:multiLevelType w:val="hybridMultilevel"/>
    <w:tmpl w:val="49A6D3A4"/>
    <w:lvl w:ilvl="0" w:tplc="ADBCA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E537C2"/>
    <w:multiLevelType w:val="hybridMultilevel"/>
    <w:tmpl w:val="22D6F0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76964"/>
    <w:multiLevelType w:val="hybridMultilevel"/>
    <w:tmpl w:val="4AE6CE3C"/>
    <w:lvl w:ilvl="0" w:tplc="F67A2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37713"/>
    <w:multiLevelType w:val="hybridMultilevel"/>
    <w:tmpl w:val="38C8CE48"/>
    <w:lvl w:ilvl="0" w:tplc="B38A4AB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3F00F2"/>
    <w:rsid w:val="00007E03"/>
    <w:rsid w:val="00013F90"/>
    <w:rsid w:val="0003164C"/>
    <w:rsid w:val="000378F4"/>
    <w:rsid w:val="00061075"/>
    <w:rsid w:val="000618CF"/>
    <w:rsid w:val="000760B6"/>
    <w:rsid w:val="000E3EB8"/>
    <w:rsid w:val="000F10E9"/>
    <w:rsid w:val="000F1EE2"/>
    <w:rsid w:val="000F371B"/>
    <w:rsid w:val="00102CEC"/>
    <w:rsid w:val="00105E54"/>
    <w:rsid w:val="001256D1"/>
    <w:rsid w:val="0013163F"/>
    <w:rsid w:val="00146DBC"/>
    <w:rsid w:val="001668BF"/>
    <w:rsid w:val="001A3B58"/>
    <w:rsid w:val="001A4AD3"/>
    <w:rsid w:val="001C18DE"/>
    <w:rsid w:val="001E3105"/>
    <w:rsid w:val="001E3BA6"/>
    <w:rsid w:val="001E7130"/>
    <w:rsid w:val="001F0DE4"/>
    <w:rsid w:val="0021355F"/>
    <w:rsid w:val="00217BCA"/>
    <w:rsid w:val="0022523B"/>
    <w:rsid w:val="00243399"/>
    <w:rsid w:val="0027347A"/>
    <w:rsid w:val="00276FE0"/>
    <w:rsid w:val="0028143F"/>
    <w:rsid w:val="0029597B"/>
    <w:rsid w:val="002970CC"/>
    <w:rsid w:val="002A473B"/>
    <w:rsid w:val="002B52A6"/>
    <w:rsid w:val="002D3427"/>
    <w:rsid w:val="002D3EB7"/>
    <w:rsid w:val="002D5B97"/>
    <w:rsid w:val="002E6DCB"/>
    <w:rsid w:val="00316040"/>
    <w:rsid w:val="00325B7B"/>
    <w:rsid w:val="00325F2E"/>
    <w:rsid w:val="00347094"/>
    <w:rsid w:val="0034755E"/>
    <w:rsid w:val="003564DD"/>
    <w:rsid w:val="003649D8"/>
    <w:rsid w:val="00374531"/>
    <w:rsid w:val="00375A5B"/>
    <w:rsid w:val="003845BB"/>
    <w:rsid w:val="003868AC"/>
    <w:rsid w:val="003968F7"/>
    <w:rsid w:val="003976FE"/>
    <w:rsid w:val="003A028F"/>
    <w:rsid w:val="003A4239"/>
    <w:rsid w:val="003A51CC"/>
    <w:rsid w:val="003A557B"/>
    <w:rsid w:val="003A674A"/>
    <w:rsid w:val="003A7E9A"/>
    <w:rsid w:val="003B486C"/>
    <w:rsid w:val="003F00F2"/>
    <w:rsid w:val="0042004B"/>
    <w:rsid w:val="00423DF7"/>
    <w:rsid w:val="00434227"/>
    <w:rsid w:val="00454472"/>
    <w:rsid w:val="00462259"/>
    <w:rsid w:val="00472AD0"/>
    <w:rsid w:val="00473454"/>
    <w:rsid w:val="0048384A"/>
    <w:rsid w:val="004902D3"/>
    <w:rsid w:val="0049174D"/>
    <w:rsid w:val="00492058"/>
    <w:rsid w:val="0049438C"/>
    <w:rsid w:val="004B5256"/>
    <w:rsid w:val="004B5BDE"/>
    <w:rsid w:val="004C7A10"/>
    <w:rsid w:val="00505658"/>
    <w:rsid w:val="00532A12"/>
    <w:rsid w:val="005529EE"/>
    <w:rsid w:val="005643A7"/>
    <w:rsid w:val="00591F61"/>
    <w:rsid w:val="005D754F"/>
    <w:rsid w:val="005F3F45"/>
    <w:rsid w:val="005F767E"/>
    <w:rsid w:val="00620C50"/>
    <w:rsid w:val="00627EDE"/>
    <w:rsid w:val="00651B22"/>
    <w:rsid w:val="00681713"/>
    <w:rsid w:val="006951C7"/>
    <w:rsid w:val="006965DE"/>
    <w:rsid w:val="00697766"/>
    <w:rsid w:val="006A4AE8"/>
    <w:rsid w:val="006D35DA"/>
    <w:rsid w:val="006D4FE0"/>
    <w:rsid w:val="006F1196"/>
    <w:rsid w:val="00726A18"/>
    <w:rsid w:val="007377EB"/>
    <w:rsid w:val="00737DAA"/>
    <w:rsid w:val="00741990"/>
    <w:rsid w:val="007460F0"/>
    <w:rsid w:val="00750AF2"/>
    <w:rsid w:val="00765707"/>
    <w:rsid w:val="007A125B"/>
    <w:rsid w:val="007B5EDA"/>
    <w:rsid w:val="007C08FC"/>
    <w:rsid w:val="007C6FAF"/>
    <w:rsid w:val="007D721D"/>
    <w:rsid w:val="007E0FAB"/>
    <w:rsid w:val="00806018"/>
    <w:rsid w:val="00813DDC"/>
    <w:rsid w:val="00826B51"/>
    <w:rsid w:val="00850DC3"/>
    <w:rsid w:val="008809A7"/>
    <w:rsid w:val="00891805"/>
    <w:rsid w:val="008A59A0"/>
    <w:rsid w:val="008B3AA8"/>
    <w:rsid w:val="008B5EAE"/>
    <w:rsid w:val="008B6E17"/>
    <w:rsid w:val="008C45DC"/>
    <w:rsid w:val="008F76F9"/>
    <w:rsid w:val="00907879"/>
    <w:rsid w:val="00954DE7"/>
    <w:rsid w:val="009623DD"/>
    <w:rsid w:val="00963CAA"/>
    <w:rsid w:val="0098007F"/>
    <w:rsid w:val="00985697"/>
    <w:rsid w:val="009B099D"/>
    <w:rsid w:val="009B4E00"/>
    <w:rsid w:val="009B604E"/>
    <w:rsid w:val="009C5844"/>
    <w:rsid w:val="009D6F9B"/>
    <w:rsid w:val="009E0B22"/>
    <w:rsid w:val="009F6F5C"/>
    <w:rsid w:val="00A03762"/>
    <w:rsid w:val="00A45761"/>
    <w:rsid w:val="00A50A4D"/>
    <w:rsid w:val="00A707C7"/>
    <w:rsid w:val="00A72C4C"/>
    <w:rsid w:val="00A828A1"/>
    <w:rsid w:val="00A82D42"/>
    <w:rsid w:val="00A836A4"/>
    <w:rsid w:val="00AA19DC"/>
    <w:rsid w:val="00AB2398"/>
    <w:rsid w:val="00AB7801"/>
    <w:rsid w:val="00AF0B4A"/>
    <w:rsid w:val="00B26189"/>
    <w:rsid w:val="00B33466"/>
    <w:rsid w:val="00B55FF7"/>
    <w:rsid w:val="00B61C5F"/>
    <w:rsid w:val="00B81719"/>
    <w:rsid w:val="00BB1A1A"/>
    <w:rsid w:val="00BB3E9A"/>
    <w:rsid w:val="00BC6041"/>
    <w:rsid w:val="00BC7DE5"/>
    <w:rsid w:val="00BD5CE4"/>
    <w:rsid w:val="00BF073E"/>
    <w:rsid w:val="00C10FC7"/>
    <w:rsid w:val="00C2297D"/>
    <w:rsid w:val="00C23312"/>
    <w:rsid w:val="00C347C1"/>
    <w:rsid w:val="00C406D2"/>
    <w:rsid w:val="00C5590A"/>
    <w:rsid w:val="00C821AC"/>
    <w:rsid w:val="00C931A1"/>
    <w:rsid w:val="00CA7BE7"/>
    <w:rsid w:val="00CB1025"/>
    <w:rsid w:val="00CB7A28"/>
    <w:rsid w:val="00CD55D7"/>
    <w:rsid w:val="00CE470B"/>
    <w:rsid w:val="00CF2B65"/>
    <w:rsid w:val="00CF2F6C"/>
    <w:rsid w:val="00D23D81"/>
    <w:rsid w:val="00D4318C"/>
    <w:rsid w:val="00D5208F"/>
    <w:rsid w:val="00D66CF2"/>
    <w:rsid w:val="00D7166B"/>
    <w:rsid w:val="00D87B9A"/>
    <w:rsid w:val="00D91FEB"/>
    <w:rsid w:val="00DA6188"/>
    <w:rsid w:val="00DC259F"/>
    <w:rsid w:val="00DD0522"/>
    <w:rsid w:val="00DE2F53"/>
    <w:rsid w:val="00E03D27"/>
    <w:rsid w:val="00E229FD"/>
    <w:rsid w:val="00E267E8"/>
    <w:rsid w:val="00E31210"/>
    <w:rsid w:val="00E3709D"/>
    <w:rsid w:val="00E47EFF"/>
    <w:rsid w:val="00E534CA"/>
    <w:rsid w:val="00E77236"/>
    <w:rsid w:val="00E86957"/>
    <w:rsid w:val="00E95C88"/>
    <w:rsid w:val="00EA55C3"/>
    <w:rsid w:val="00ED76F7"/>
    <w:rsid w:val="00EF7F80"/>
    <w:rsid w:val="00F035D9"/>
    <w:rsid w:val="00F053D2"/>
    <w:rsid w:val="00F05A8B"/>
    <w:rsid w:val="00F278A3"/>
    <w:rsid w:val="00F541EC"/>
    <w:rsid w:val="00FA27B6"/>
    <w:rsid w:val="00FA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3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0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14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43F"/>
  </w:style>
  <w:style w:type="paragraph" w:styleId="Footer">
    <w:name w:val="footer"/>
    <w:basedOn w:val="Normal"/>
    <w:link w:val="FooterChar"/>
    <w:uiPriority w:val="99"/>
    <w:unhideWhenUsed/>
    <w:rsid w:val="0028143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43F"/>
  </w:style>
  <w:style w:type="paragraph" w:styleId="ListParagraph">
    <w:name w:val="List Paragraph"/>
    <w:basedOn w:val="Normal"/>
    <w:uiPriority w:val="34"/>
    <w:qFormat/>
    <w:rsid w:val="003A51CC"/>
    <w:pPr>
      <w:ind w:left="720"/>
      <w:contextualSpacing/>
    </w:pPr>
  </w:style>
  <w:style w:type="paragraph" w:customStyle="1" w:styleId="Default">
    <w:name w:val="Default"/>
    <w:rsid w:val="00627ED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 Dobra</dc:creator>
  <cp:lastModifiedBy>STU Dobra</cp:lastModifiedBy>
  <cp:revision>14</cp:revision>
  <cp:lastPrinted>2015-08-06T09:27:00Z</cp:lastPrinted>
  <dcterms:created xsi:type="dcterms:W3CDTF">2015-08-06T08:16:00Z</dcterms:created>
  <dcterms:modified xsi:type="dcterms:W3CDTF">2015-08-17T06:22:00Z</dcterms:modified>
</cp:coreProperties>
</file>